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486D5" w14:textId="77777777" w:rsidR="00183B77" w:rsidRPr="00991212" w:rsidRDefault="00183B77" w:rsidP="00991212">
      <w:pPr>
        <w:spacing w:line="360" w:lineRule="auto"/>
        <w:ind w:right="567"/>
        <w:rPr>
          <w:lang w:val="en-US"/>
        </w:rPr>
      </w:pPr>
    </w:p>
    <w:p w14:paraId="6565813A" w14:textId="77777777" w:rsidR="00183B77" w:rsidRPr="00991212" w:rsidRDefault="00183B77" w:rsidP="00991212">
      <w:pPr>
        <w:spacing w:line="360" w:lineRule="auto"/>
        <w:ind w:right="567"/>
        <w:rPr>
          <w:lang w:val="en-US"/>
        </w:rPr>
      </w:pPr>
    </w:p>
    <w:p w14:paraId="71C15CFB" w14:textId="77777777" w:rsidR="00991212" w:rsidRPr="00991212" w:rsidRDefault="00991212" w:rsidP="00991212">
      <w:pPr>
        <w:spacing w:line="360" w:lineRule="auto"/>
        <w:ind w:right="567"/>
        <w:rPr>
          <w:b/>
          <w:u w:val="single"/>
          <w:lang w:val="en-US"/>
        </w:rPr>
      </w:pPr>
      <w:r w:rsidRPr="00991212">
        <w:rPr>
          <w:b/>
          <w:u w:val="single"/>
          <w:lang w:val="en-US"/>
        </w:rPr>
        <w:t>TÜV Rheinland certifies additional standard for North American market - Better market access for PV manufacturers</w:t>
      </w:r>
    </w:p>
    <w:p w14:paraId="22190604" w14:textId="77777777" w:rsidR="00991212" w:rsidRPr="00991212" w:rsidRDefault="00991212" w:rsidP="00991212">
      <w:pPr>
        <w:spacing w:line="360" w:lineRule="auto"/>
        <w:ind w:right="567"/>
        <w:rPr>
          <w:lang w:val="en-US"/>
        </w:rPr>
      </w:pPr>
      <w:r w:rsidRPr="00991212">
        <w:rPr>
          <w:lang w:val="en-US"/>
        </w:rPr>
        <w:t xml:space="preserve">TÜV Rheinland test laboratories certify PV modules to UL 61730 standard for the first time / Additional safety standards give PV manufacturers better market access / Combined certification programs for USA and Canada / PV manufacturer </w:t>
      </w:r>
      <w:proofErr w:type="spellStart"/>
      <w:r w:rsidRPr="00991212">
        <w:rPr>
          <w:lang w:val="en-US"/>
        </w:rPr>
        <w:t>Qcells</w:t>
      </w:r>
      <w:proofErr w:type="spellEnd"/>
      <w:r w:rsidRPr="00991212">
        <w:rPr>
          <w:lang w:val="en-US"/>
        </w:rPr>
        <w:t xml:space="preserve"> receives one of the first </w:t>
      </w:r>
      <w:proofErr w:type="spellStart"/>
      <w:r w:rsidRPr="00991212">
        <w:rPr>
          <w:lang w:val="en-US"/>
        </w:rPr>
        <w:t>cTUVus</w:t>
      </w:r>
      <w:proofErr w:type="spellEnd"/>
      <w:r w:rsidRPr="00991212">
        <w:rPr>
          <w:lang w:val="en-US"/>
        </w:rPr>
        <w:t xml:space="preserve"> certificates / www.tuv.com</w:t>
      </w:r>
    </w:p>
    <w:p w14:paraId="3508929B" w14:textId="77777777" w:rsidR="00991212" w:rsidRPr="00991212" w:rsidRDefault="00991212" w:rsidP="00991212">
      <w:pPr>
        <w:spacing w:line="360" w:lineRule="auto"/>
        <w:ind w:right="567"/>
        <w:rPr>
          <w:lang w:val="en-US"/>
        </w:rPr>
      </w:pPr>
    </w:p>
    <w:p w14:paraId="24ED2545" w14:textId="0606885B" w:rsidR="00991212" w:rsidRPr="00991212" w:rsidRDefault="00991212" w:rsidP="00991212">
      <w:pPr>
        <w:spacing w:line="360" w:lineRule="auto"/>
        <w:ind w:right="567"/>
        <w:rPr>
          <w:lang w:val="en-US"/>
        </w:rPr>
      </w:pPr>
      <w:r w:rsidRPr="00991212">
        <w:rPr>
          <w:b/>
          <w:lang w:val="en-US"/>
        </w:rPr>
        <w:t xml:space="preserve">Cologne, </w:t>
      </w:r>
      <w:bookmarkStart w:id="0" w:name="_GoBack"/>
      <w:bookmarkEnd w:id="0"/>
      <w:r w:rsidR="00FC41D4">
        <w:rPr>
          <w:b/>
          <w:lang w:val="en-US"/>
        </w:rPr>
        <w:t>31</w:t>
      </w:r>
      <w:r w:rsidR="00FC41D4" w:rsidRPr="00991212">
        <w:rPr>
          <w:b/>
          <w:lang w:val="en-US"/>
        </w:rPr>
        <w:t xml:space="preserve"> </w:t>
      </w:r>
      <w:r w:rsidRPr="00991212">
        <w:rPr>
          <w:b/>
          <w:lang w:val="en-US"/>
        </w:rPr>
        <w:t>March 2023.</w:t>
      </w:r>
      <w:r w:rsidRPr="00991212">
        <w:rPr>
          <w:lang w:val="en-US"/>
        </w:rPr>
        <w:t xml:space="preserve"> Since the end of June last year, TÜV </w:t>
      </w:r>
      <w:proofErr w:type="spellStart"/>
      <w:r w:rsidRPr="00991212">
        <w:rPr>
          <w:lang w:val="en-US"/>
        </w:rPr>
        <w:t>Rheinland's</w:t>
      </w:r>
      <w:proofErr w:type="spellEnd"/>
      <w:r w:rsidRPr="00991212">
        <w:rPr>
          <w:lang w:val="en-US"/>
        </w:rPr>
        <w:t xml:space="preserve"> testing laboratories have also been able to certify PV modules according to the American UL 61730 </w:t>
      </w:r>
      <w:r w:rsidRPr="00991212">
        <w:rPr>
          <w:lang w:val="en-US"/>
        </w:rPr>
        <w:lastRenderedPageBreak/>
        <w:t>standard. The additional safety standards provide PV manufacturers with even better market access in the USA, and in combination with CAN/CSA-C22.2 certification also increases opportunities in the Canadian market. The TÜV Rheinland test laboratories have now been able to issue the first test marks for the United States and Canada.</w:t>
      </w:r>
    </w:p>
    <w:p w14:paraId="38BB7D31" w14:textId="721D88BF" w:rsidR="00991212" w:rsidRPr="00991212" w:rsidRDefault="00991212" w:rsidP="00991212">
      <w:pPr>
        <w:spacing w:line="360" w:lineRule="auto"/>
        <w:ind w:right="567"/>
        <w:rPr>
          <w:lang w:val="en-US"/>
        </w:rPr>
      </w:pPr>
      <w:r w:rsidRPr="00991212">
        <w:rPr>
          <w:lang w:val="en-US"/>
        </w:rPr>
        <w:t xml:space="preserve">One of the first </w:t>
      </w:r>
      <w:proofErr w:type="spellStart"/>
      <w:r w:rsidRPr="00991212">
        <w:rPr>
          <w:lang w:val="en-US"/>
        </w:rPr>
        <w:t>cTUVus</w:t>
      </w:r>
      <w:proofErr w:type="spellEnd"/>
      <w:r w:rsidRPr="00991212">
        <w:rPr>
          <w:lang w:val="en-US"/>
        </w:rPr>
        <w:t xml:space="preserve"> test marks for Canada and the USA has been awarded to PV manufacturer </w:t>
      </w:r>
      <w:proofErr w:type="spellStart"/>
      <w:r w:rsidRPr="00991212">
        <w:rPr>
          <w:lang w:val="en-US"/>
        </w:rPr>
        <w:t>Qcells</w:t>
      </w:r>
      <w:proofErr w:type="spellEnd"/>
      <w:r w:rsidRPr="00991212">
        <w:rPr>
          <w:lang w:val="en-US"/>
        </w:rPr>
        <w:t xml:space="preserve">. The company is one of the world's leading clean energy producers, having had numerous PV modules as well as its global network of manufacturing facilities certified for the North American market by TÜV </w:t>
      </w:r>
      <w:proofErr w:type="spellStart"/>
      <w:r w:rsidRPr="00991212">
        <w:rPr>
          <w:lang w:val="en-US"/>
        </w:rPr>
        <w:t>Rheinland's</w:t>
      </w:r>
      <w:proofErr w:type="spellEnd"/>
      <w:r w:rsidRPr="00991212">
        <w:rPr>
          <w:lang w:val="en-US"/>
        </w:rPr>
        <w:t xml:space="preserve"> testing laboratories. "The expanded listing of our testing laboratories for the U.S. will enable </w:t>
      </w:r>
      <w:proofErr w:type="spellStart"/>
      <w:r w:rsidRPr="00991212">
        <w:rPr>
          <w:lang w:val="en-US"/>
        </w:rPr>
        <w:t>Qcells</w:t>
      </w:r>
      <w:proofErr w:type="spellEnd"/>
      <w:r w:rsidRPr="00991212">
        <w:rPr>
          <w:lang w:val="en-US"/>
        </w:rPr>
        <w:t>, as a manufacturer of PV modules, to obtain even better approval for its products in the future," sa</w:t>
      </w:r>
      <w:r>
        <w:rPr>
          <w:lang w:val="en-US"/>
        </w:rPr>
        <w:t>ys</w:t>
      </w:r>
      <w:r w:rsidRPr="00991212">
        <w:rPr>
          <w:lang w:val="en-US"/>
        </w:rPr>
        <w:t xml:space="preserve"> Lukas </w:t>
      </w:r>
      <w:proofErr w:type="spellStart"/>
      <w:r w:rsidRPr="00991212">
        <w:rPr>
          <w:lang w:val="en-US"/>
        </w:rPr>
        <w:t>Jakisch</w:t>
      </w:r>
      <w:proofErr w:type="spellEnd"/>
      <w:r w:rsidRPr="00991212">
        <w:rPr>
          <w:lang w:val="en-US"/>
        </w:rPr>
        <w:t xml:space="preserve">, </w:t>
      </w:r>
      <w:r w:rsidR="00E74B57">
        <w:rPr>
          <w:lang w:val="en-US"/>
        </w:rPr>
        <w:lastRenderedPageBreak/>
        <w:t>segment</w:t>
      </w:r>
      <w:r w:rsidRPr="00991212">
        <w:rPr>
          <w:lang w:val="en-US"/>
        </w:rPr>
        <w:t xml:space="preserve"> manager at TÜV Rheinland. "The company will benefit from the wide range of solar services TÜV Rheinland offers as a one-stop service for the IEC 61215 series and IEC / UL 61730 / CAN/CSA certification programs. Certification breaks down trade barriers and makes market access possible in the first place."</w:t>
      </w:r>
    </w:p>
    <w:p w14:paraId="021F926E" w14:textId="77777777" w:rsidR="00192BE7" w:rsidRDefault="00192BE7" w:rsidP="00991212">
      <w:pPr>
        <w:spacing w:line="360" w:lineRule="auto"/>
        <w:ind w:right="567"/>
        <w:rPr>
          <w:lang w:val="en-US"/>
        </w:rPr>
      </w:pPr>
    </w:p>
    <w:p w14:paraId="0BBE9254" w14:textId="3D18F945" w:rsidR="00991212" w:rsidRPr="00991212" w:rsidRDefault="00192BE7" w:rsidP="00991212">
      <w:pPr>
        <w:spacing w:line="360" w:lineRule="auto"/>
        <w:ind w:right="567"/>
        <w:rPr>
          <w:lang w:val="en-US"/>
        </w:rPr>
      </w:pPr>
      <w:r w:rsidRPr="00192BE7">
        <w:rPr>
          <w:b/>
          <w:lang w:val="en-US"/>
        </w:rPr>
        <w:t>PV manufacturers benefit from expanded listing of testing laboratories</w:t>
      </w:r>
      <w:r>
        <w:rPr>
          <w:lang w:val="en-US"/>
        </w:rPr>
        <w:br/>
      </w:r>
      <w:r w:rsidR="00991212" w:rsidRPr="00991212">
        <w:rPr>
          <w:lang w:val="en-US"/>
        </w:rPr>
        <w:t xml:space="preserve">Certification by TÜV </w:t>
      </w:r>
      <w:proofErr w:type="spellStart"/>
      <w:r w:rsidR="00991212" w:rsidRPr="00991212">
        <w:rPr>
          <w:lang w:val="en-US"/>
        </w:rPr>
        <w:t>Rheinland's</w:t>
      </w:r>
      <w:proofErr w:type="spellEnd"/>
      <w:r w:rsidR="00991212" w:rsidRPr="00991212">
        <w:rPr>
          <w:lang w:val="en-US"/>
        </w:rPr>
        <w:t xml:space="preserve"> testing laboratories can significantly improve global export opportunities for manufacturers targeting the global market. The test labs' additional listing for the UL 61730 series of standards includes testing requirements for both construction and fire testing as absolutely mandatory safety standards for photovoltaic modules. These standards are of enormous importance for PV products in </w:t>
      </w:r>
      <w:r w:rsidR="00991212" w:rsidRPr="00991212">
        <w:rPr>
          <w:lang w:val="en-US"/>
        </w:rPr>
        <w:lastRenderedPageBreak/>
        <w:t>North America, as they ensure their quality and safe operation, and are generally mandatory for installation.</w:t>
      </w:r>
    </w:p>
    <w:p w14:paraId="2900459B" w14:textId="77777777" w:rsidR="00991212" w:rsidRPr="00991212" w:rsidRDefault="00991212" w:rsidP="00991212">
      <w:pPr>
        <w:spacing w:line="360" w:lineRule="auto"/>
        <w:ind w:right="567"/>
        <w:rPr>
          <w:lang w:val="en-US"/>
        </w:rPr>
      </w:pPr>
      <w:r w:rsidRPr="00991212">
        <w:rPr>
          <w:lang w:val="en-US"/>
        </w:rPr>
        <w:t xml:space="preserve">"The combined testing of our PV modules according to the IEC, UL and CAN/CSA standards by TÜV Rheinland significantly simplifies the approval process of our products for us," explains Dr. Thoralf Harder, Head of R&amp;D Modules &amp; Systems at </w:t>
      </w:r>
      <w:proofErr w:type="spellStart"/>
      <w:r w:rsidRPr="00991212">
        <w:rPr>
          <w:lang w:val="en-US"/>
        </w:rPr>
        <w:t>Qcells</w:t>
      </w:r>
      <w:proofErr w:type="spellEnd"/>
      <w:r w:rsidRPr="00991212">
        <w:rPr>
          <w:lang w:val="en-US"/>
        </w:rPr>
        <w:t>. "Thanks to the standardization, a large piece of bureaucracy is eliminated that would otherwise be incurred with several different certification bodies for the main markets. Effort and costs are reduced and the speed of approval is increased. We can introduce our products into different markets more quickly and prove that they meet the locally applicable high quality and safety regulations and also reliability requirements."</w:t>
      </w:r>
    </w:p>
    <w:p w14:paraId="0A7B21C8" w14:textId="77777777" w:rsidR="00991212" w:rsidRPr="00991212" w:rsidRDefault="00991212" w:rsidP="00991212">
      <w:pPr>
        <w:spacing w:line="360" w:lineRule="auto"/>
        <w:ind w:right="567"/>
        <w:rPr>
          <w:lang w:val="en-US"/>
        </w:rPr>
      </w:pPr>
    </w:p>
    <w:p w14:paraId="73274393" w14:textId="77777777" w:rsidR="00183B77" w:rsidRPr="00991212" w:rsidRDefault="00183B77" w:rsidP="00991212">
      <w:pPr>
        <w:spacing w:line="360" w:lineRule="auto"/>
        <w:ind w:right="567"/>
        <w:rPr>
          <w:b/>
          <w:i/>
          <w:lang w:val="en-US"/>
        </w:rPr>
      </w:pPr>
      <w:r w:rsidRPr="00991212">
        <w:rPr>
          <w:b/>
          <w:i/>
          <w:lang w:val="en-US"/>
        </w:rPr>
        <w:t>About TÜV Rheinland</w:t>
      </w:r>
    </w:p>
    <w:p w14:paraId="3C55B1F8" w14:textId="77777777" w:rsidR="00991212" w:rsidRDefault="00183B77" w:rsidP="00991212">
      <w:pPr>
        <w:spacing w:line="360" w:lineRule="auto"/>
        <w:ind w:right="567"/>
        <w:rPr>
          <w:i/>
          <w:lang w:val="en-US"/>
        </w:rPr>
      </w:pPr>
      <w:r w:rsidRPr="00991212">
        <w:rPr>
          <w:i/>
          <w:lang w:val="en-US"/>
        </w:rPr>
        <w:lastRenderedPageBreak/>
        <w:t xml:space="preserve">Safety and quality in almost all areas of business and life: That's what TÜV Rheinland stands for. With more than 20,000 employees and annual sales of around 2.1 billion euros, the company is one of the world's leading testing service providers. TÜV </w:t>
      </w:r>
      <w:proofErr w:type="spellStart"/>
      <w:r w:rsidRPr="00991212">
        <w:rPr>
          <w:i/>
          <w:lang w:val="en-US"/>
        </w:rPr>
        <w:t>Rheinland's</w:t>
      </w:r>
      <w:proofErr w:type="spellEnd"/>
      <w:r w:rsidRPr="00991212">
        <w:rPr>
          <w:i/>
          <w:lang w:val="en-US"/>
        </w:rPr>
        <w:t xml:space="preserve"> highly qualified experts test technical systems and products around the globe, support innovations in technology and business, train people in numerous professions, and certify management systems according to international standards. In this way, the independent experts ensure trust along global flows of goods and value chains. Since 2006, TÜV Rheinland has been a member of the United Nations Global Compact for greater sustainability and against corruption. Website: www.tuv.com </w:t>
      </w:r>
    </w:p>
    <w:p w14:paraId="445842F5" w14:textId="4E8665B8" w:rsidR="00183B77" w:rsidRPr="00991212" w:rsidRDefault="00183B77" w:rsidP="00991212">
      <w:pPr>
        <w:spacing w:line="360" w:lineRule="auto"/>
        <w:ind w:right="567"/>
        <w:rPr>
          <w:lang w:val="en-US"/>
        </w:rPr>
      </w:pPr>
      <w:r w:rsidRPr="00991212">
        <w:rPr>
          <w:lang w:val="en-US"/>
        </w:rPr>
        <w:t>________________________________________________________________</w:t>
      </w:r>
      <w:r w:rsidR="00991212">
        <w:rPr>
          <w:lang w:val="en-US"/>
        </w:rPr>
        <w:t>____________</w:t>
      </w:r>
    </w:p>
    <w:p w14:paraId="1C2C197D" w14:textId="77777777" w:rsidR="00183B77" w:rsidRPr="00991212" w:rsidRDefault="00183B77" w:rsidP="00991212">
      <w:pPr>
        <w:spacing w:line="360" w:lineRule="auto"/>
        <w:ind w:right="567"/>
        <w:rPr>
          <w:b/>
          <w:i/>
          <w:lang w:val="en-US"/>
        </w:rPr>
      </w:pPr>
      <w:r w:rsidRPr="00991212">
        <w:rPr>
          <w:b/>
          <w:i/>
          <w:lang w:val="en-US"/>
        </w:rPr>
        <w:t xml:space="preserve">About </w:t>
      </w:r>
      <w:proofErr w:type="spellStart"/>
      <w:r w:rsidRPr="00991212">
        <w:rPr>
          <w:b/>
          <w:i/>
          <w:lang w:val="en-US"/>
        </w:rPr>
        <w:t>Qcells</w:t>
      </w:r>
      <w:proofErr w:type="spellEnd"/>
    </w:p>
    <w:p w14:paraId="77BCC233" w14:textId="0B2B4E3D" w:rsidR="00183B77" w:rsidRPr="00991212" w:rsidRDefault="00183B77" w:rsidP="00991212">
      <w:pPr>
        <w:spacing w:line="360" w:lineRule="auto"/>
        <w:ind w:right="567"/>
        <w:rPr>
          <w:i/>
          <w:lang w:val="en-US"/>
        </w:rPr>
      </w:pPr>
      <w:proofErr w:type="spellStart"/>
      <w:r w:rsidRPr="00991212">
        <w:rPr>
          <w:i/>
          <w:lang w:val="en-US"/>
        </w:rPr>
        <w:lastRenderedPageBreak/>
        <w:t>Qcells</w:t>
      </w:r>
      <w:proofErr w:type="spellEnd"/>
      <w:r w:rsidRPr="00991212">
        <w:rPr>
          <w:i/>
          <w:lang w:val="en-US"/>
        </w:rPr>
        <w:t xml:space="preserve"> is one of the world's leading clean energy companies across the full spectrum of photovoltaic products, storage solutions, </w:t>
      </w:r>
      <w:proofErr w:type="gramStart"/>
      <w:r w:rsidRPr="00991212">
        <w:rPr>
          <w:i/>
          <w:lang w:val="en-US"/>
        </w:rPr>
        <w:t>renewable</w:t>
      </w:r>
      <w:proofErr w:type="gramEnd"/>
      <w:r w:rsidRPr="00991212">
        <w:rPr>
          <w:i/>
          <w:lang w:val="en-US"/>
        </w:rPr>
        <w:t xml:space="preserve"> power contracting and large-scale solar power plants. The company is headquartered in Seoul, South Korea (Global Executive HQ), and </w:t>
      </w:r>
      <w:proofErr w:type="spellStart"/>
      <w:r w:rsidRPr="00991212">
        <w:rPr>
          <w:i/>
          <w:lang w:val="en-US"/>
        </w:rPr>
        <w:t>Thalheim</w:t>
      </w:r>
      <w:proofErr w:type="spellEnd"/>
      <w:r w:rsidRPr="00991212">
        <w:rPr>
          <w:i/>
          <w:lang w:val="en-US"/>
        </w:rPr>
        <w:t xml:space="preserve">, Germany (Technology &amp; Innovation HQ), and manufactures in various international production facilities in the US, Malaysia, China and South Korea. Through its growing global business network spanning Europe, North America, Asia, South America, Africa and the Middle East, </w:t>
      </w:r>
      <w:proofErr w:type="spellStart"/>
      <w:r w:rsidRPr="00991212">
        <w:rPr>
          <w:i/>
          <w:lang w:val="en-US"/>
        </w:rPr>
        <w:t>Qcells</w:t>
      </w:r>
      <w:proofErr w:type="spellEnd"/>
      <w:r w:rsidRPr="00991212">
        <w:rPr>
          <w:i/>
          <w:lang w:val="en-US"/>
        </w:rPr>
        <w:t xml:space="preserve"> provides superior service and long-term partnerships in the utility, commercial, government and residential markets. For more information, visit</w:t>
      </w:r>
      <w:proofErr w:type="gramStart"/>
      <w:r w:rsidRPr="00991212">
        <w:rPr>
          <w:i/>
          <w:lang w:val="en-US"/>
        </w:rPr>
        <w:t xml:space="preserve">: </w:t>
      </w:r>
      <w:proofErr w:type="gramEnd"/>
      <w:hyperlink r:id="rId11" w:history="1">
        <w:r w:rsidR="00991212" w:rsidRPr="00AB51B0">
          <w:rPr>
            <w:rStyle w:val="Hyperlink"/>
            <w:i/>
            <w:lang w:val="en-US"/>
          </w:rPr>
          <w:t>www.q-cells.com</w:t>
        </w:r>
      </w:hyperlink>
      <w:r w:rsidRPr="00991212">
        <w:rPr>
          <w:i/>
          <w:lang w:val="en-US"/>
        </w:rPr>
        <w:t>.</w:t>
      </w:r>
      <w:r w:rsidR="00991212">
        <w:rPr>
          <w:i/>
          <w:lang w:val="en-US"/>
        </w:rPr>
        <w:t xml:space="preserve"> </w:t>
      </w:r>
      <w:r w:rsidR="00311BF9" w:rsidRPr="00991212">
        <w:rPr>
          <w:i/>
          <w:lang w:val="en-US"/>
        </w:rPr>
        <w:t>________________________________________________________________</w:t>
      </w:r>
      <w:r w:rsidR="00991212">
        <w:rPr>
          <w:i/>
          <w:lang w:val="en-US"/>
        </w:rPr>
        <w:t>____________</w:t>
      </w:r>
    </w:p>
    <w:p w14:paraId="55354440" w14:textId="77777777" w:rsidR="00311BF9" w:rsidRPr="00991212" w:rsidRDefault="00311BF9" w:rsidP="00991212">
      <w:pPr>
        <w:spacing w:line="360" w:lineRule="auto"/>
        <w:ind w:right="567"/>
        <w:rPr>
          <w:lang w:val="en-US"/>
        </w:rPr>
      </w:pPr>
      <w:r w:rsidRPr="00991212">
        <w:rPr>
          <w:lang w:val="en-US"/>
        </w:rPr>
        <w:t>Your contact for editorial questions:</w:t>
      </w:r>
    </w:p>
    <w:p w14:paraId="77882623" w14:textId="77777777" w:rsidR="00311BF9" w:rsidRPr="00991212" w:rsidRDefault="00311BF9" w:rsidP="00991212">
      <w:pPr>
        <w:spacing w:line="360" w:lineRule="auto"/>
        <w:ind w:right="567"/>
        <w:rPr>
          <w:lang w:val="en-US"/>
        </w:rPr>
      </w:pPr>
      <w:r w:rsidRPr="00991212">
        <w:rPr>
          <w:lang w:val="en-US"/>
        </w:rPr>
        <w:lastRenderedPageBreak/>
        <w:t xml:space="preserve">TÜV Rheinland Press Office, Tel.: +49 2 21/8 06-21 48. </w:t>
      </w:r>
      <w:r w:rsidRPr="00991212">
        <w:rPr>
          <w:lang w:val="en-US"/>
        </w:rPr>
        <w:br/>
        <w:t>The latest press releases as well as topic-related photos and videos are also available by e-mail at press@de.tuv.com and on the Internet: press.tuv.com and www.twitter.com/tuvcom_press.</w:t>
      </w:r>
    </w:p>
    <w:p w14:paraId="1F7304CF" w14:textId="77777777" w:rsidR="00183B77" w:rsidRPr="00C45264" w:rsidRDefault="00183B77" w:rsidP="00991212">
      <w:pPr>
        <w:spacing w:line="360" w:lineRule="auto"/>
        <w:ind w:right="567"/>
        <w:rPr>
          <w:i/>
          <w:lang w:val="en-US"/>
        </w:rPr>
      </w:pPr>
    </w:p>
    <w:p w14:paraId="1A8C2A6E" w14:textId="77777777" w:rsidR="00183B77" w:rsidRPr="00C45264" w:rsidRDefault="00183B77" w:rsidP="00991212">
      <w:pPr>
        <w:spacing w:line="360" w:lineRule="auto"/>
        <w:ind w:right="567"/>
        <w:rPr>
          <w:i/>
          <w:lang w:val="en-US"/>
        </w:rPr>
      </w:pPr>
    </w:p>
    <w:p w14:paraId="0E447E67" w14:textId="77777777" w:rsidR="00183B77" w:rsidRPr="00C45264" w:rsidRDefault="00183B77" w:rsidP="00991212">
      <w:pPr>
        <w:spacing w:line="360" w:lineRule="auto"/>
        <w:ind w:right="567"/>
        <w:rPr>
          <w:i/>
          <w:lang w:val="en-US"/>
        </w:rPr>
      </w:pPr>
      <w:r w:rsidRPr="00C45264">
        <w:rPr>
          <w:i/>
          <w:lang w:val="en-US"/>
        </w:rPr>
        <w:t xml:space="preserve"> </w:t>
      </w:r>
    </w:p>
    <w:p w14:paraId="74B1F0FC" w14:textId="77777777" w:rsidR="00183B77" w:rsidRPr="00C45264" w:rsidRDefault="00183B77" w:rsidP="00991212">
      <w:pPr>
        <w:spacing w:line="360" w:lineRule="auto"/>
        <w:ind w:right="567"/>
        <w:rPr>
          <w:i/>
          <w:lang w:val="en-US"/>
        </w:rPr>
      </w:pPr>
      <w:r w:rsidRPr="00C45264">
        <w:rPr>
          <w:i/>
          <w:lang w:val="en-US"/>
        </w:rPr>
        <w:t xml:space="preserve"> </w:t>
      </w:r>
    </w:p>
    <w:p w14:paraId="6976DCE5" w14:textId="77777777" w:rsidR="004570A0" w:rsidRPr="00C45264" w:rsidRDefault="004570A0" w:rsidP="00991212">
      <w:pPr>
        <w:spacing w:line="360" w:lineRule="auto"/>
        <w:ind w:right="567"/>
        <w:rPr>
          <w:lang w:val="en-US"/>
        </w:rPr>
      </w:pPr>
    </w:p>
    <w:sectPr w:rsidR="004570A0" w:rsidRPr="00C45264">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593B8" w14:textId="77777777" w:rsidR="00183B77" w:rsidRDefault="00183B77" w:rsidP="006C1C0B">
      <w:r>
        <w:separator/>
      </w:r>
    </w:p>
  </w:endnote>
  <w:endnote w:type="continuationSeparator" w:id="0">
    <w:p w14:paraId="009F6153" w14:textId="77777777" w:rsidR="00183B77" w:rsidRDefault="00183B77"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103D4" w14:textId="77777777" w:rsidR="00183B77" w:rsidRDefault="00183B77" w:rsidP="006C1C0B">
      <w:r>
        <w:separator/>
      </w:r>
    </w:p>
  </w:footnote>
  <w:footnote w:type="continuationSeparator" w:id="0">
    <w:p w14:paraId="3D4DC3A4" w14:textId="77777777" w:rsidR="00183B77" w:rsidRDefault="00183B77" w:rsidP="006C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2CBF4" w14:textId="77777777" w:rsidR="00183B77" w:rsidRDefault="00183B77" w:rsidP="00183B77">
    <w:pPr>
      <w:pStyle w:val="Kopfzeile"/>
      <w:jc w:val="right"/>
    </w:pPr>
    <w:r>
      <w:rPr>
        <w:noProof/>
        <w:lang w:eastAsia="de-DE"/>
      </w:rPr>
      <w:drawing>
        <wp:inline distT="0" distB="0" distL="0" distR="0" wp14:anchorId="5B1D0E03" wp14:editId="04AF70CB">
          <wp:extent cx="1798320" cy="45085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2"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4"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6"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7"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abstractNumId w:val="9"/>
  </w:num>
  <w:num w:numId="2">
    <w:abstractNumId w:val="2"/>
  </w:num>
  <w:num w:numId="3">
    <w:abstractNumId w:val="7"/>
  </w:num>
  <w:num w:numId="4">
    <w:abstractNumId w:val="8"/>
  </w:num>
  <w:num w:numId="5">
    <w:abstractNumId w:val="0"/>
  </w:num>
  <w:num w:numId="6">
    <w:abstractNumId w:val="5"/>
  </w:num>
  <w:num w:numId="7">
    <w:abstractNumId w:val="6"/>
  </w:num>
  <w:num w:numId="8">
    <w:abstractNumId w:val="3"/>
  </w:num>
  <w:num w:numId="9">
    <w:abstractNumId w:val="1"/>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B77"/>
    <w:rsid w:val="00006A07"/>
    <w:rsid w:val="00106CE9"/>
    <w:rsid w:val="00145D2E"/>
    <w:rsid w:val="00183B77"/>
    <w:rsid w:val="00192BE7"/>
    <w:rsid w:val="001C3EFA"/>
    <w:rsid w:val="001F105E"/>
    <w:rsid w:val="001F3A98"/>
    <w:rsid w:val="002057FE"/>
    <w:rsid w:val="00224B84"/>
    <w:rsid w:val="00311BF9"/>
    <w:rsid w:val="00314251"/>
    <w:rsid w:val="003337B1"/>
    <w:rsid w:val="003E7C7D"/>
    <w:rsid w:val="00432D35"/>
    <w:rsid w:val="004549E5"/>
    <w:rsid w:val="004570A0"/>
    <w:rsid w:val="004820FD"/>
    <w:rsid w:val="00552446"/>
    <w:rsid w:val="00575A82"/>
    <w:rsid w:val="005F27CE"/>
    <w:rsid w:val="006C1C0B"/>
    <w:rsid w:val="006D2F58"/>
    <w:rsid w:val="006D759E"/>
    <w:rsid w:val="00740769"/>
    <w:rsid w:val="00755964"/>
    <w:rsid w:val="008673D5"/>
    <w:rsid w:val="009767D1"/>
    <w:rsid w:val="00991212"/>
    <w:rsid w:val="00A11A89"/>
    <w:rsid w:val="00A43BE3"/>
    <w:rsid w:val="00A454A7"/>
    <w:rsid w:val="00AF32F4"/>
    <w:rsid w:val="00B34576"/>
    <w:rsid w:val="00B7777B"/>
    <w:rsid w:val="00C32C66"/>
    <w:rsid w:val="00C45264"/>
    <w:rsid w:val="00CB275C"/>
    <w:rsid w:val="00D516D3"/>
    <w:rsid w:val="00DA6DC2"/>
    <w:rsid w:val="00E60029"/>
    <w:rsid w:val="00E6582B"/>
    <w:rsid w:val="00E74B57"/>
    <w:rsid w:val="00EB448C"/>
    <w:rsid w:val="00EF432D"/>
    <w:rsid w:val="00FC41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340FC4"/>
  <w15:chartTrackingRefBased/>
  <w15:docId w15:val="{9229B3CB-F177-4F58-87CD-C0B6A2F0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C1C0B"/>
  </w:style>
  <w:style w:type="paragraph" w:styleId="berschrift1">
    <w:name w:val="heading 1"/>
    <w:basedOn w:val="Standard"/>
    <w:next w:val="Standard"/>
    <w:link w:val="berschrift1Zchn"/>
    <w:uiPriority w:val="9"/>
    <w:qFormat/>
    <w:rsid w:val="00106CE9"/>
    <w:pPr>
      <w:keepNext/>
      <w:keepLines/>
      <w:numPr>
        <w:numId w:val="2"/>
      </w:numPr>
      <w:spacing w:before="480" w:after="24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outlineLvl w:val="1"/>
    </w:pPr>
    <w:rPr>
      <w:rFonts w:eastAsiaTheme="majorEastAsia" w:cstheme="majorBidi"/>
      <w:b/>
      <w:sz w:val="26"/>
      <w:szCs w:val="26"/>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outlineLvl w:val="2"/>
    </w:pPr>
    <w:rPr>
      <w:rFonts w:eastAsiaTheme="majorEastAsia" w:cstheme="majorBidi"/>
      <w:b/>
      <w:szCs w:val="24"/>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outlineLvl w:val="3"/>
    </w:pPr>
    <w:rPr>
      <w:rFonts w:eastAsiaTheme="majorEastAsia" w:cstheme="majorBidi"/>
      <w:b/>
      <w:i/>
      <w:iC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after="0"/>
      <w:outlineLvl w:val="5"/>
    </w:pPr>
    <w:rPr>
      <w:rFonts w:eastAsiaTheme="majorEastAsia" w:cstheme="majorBidi"/>
      <w:i/>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after="0"/>
      <w:outlineLvl w:val="6"/>
    </w:pPr>
    <w:rPr>
      <w:rFonts w:eastAsiaTheme="majorEastAsia" w:cstheme="majorBidi"/>
      <w:i/>
      <w:iC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after="0"/>
      <w:outlineLvl w:val="7"/>
    </w:pPr>
    <w:rPr>
      <w:rFonts w:eastAsiaTheme="majorEastAsia" w:cstheme="majorBidi"/>
      <w:szCs w:val="21"/>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after="0"/>
      <w:outlineLvl w:val="8"/>
    </w:pPr>
    <w:rPr>
      <w:rFonts w:eastAsiaTheme="majorEastAsia" w:cstheme="majorBidi"/>
      <w:i/>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before="0" w:after="300" w:line="240" w:lineRule="auto"/>
      <w:contextualSpacing/>
    </w:pPr>
    <w:rPr>
      <w:rFonts w:eastAsiaTheme="majorEastAsia" w:cstheme="majorBidi"/>
      <w:spacing w:val="5"/>
      <w:kern w:val="28"/>
      <w:sz w:val="52"/>
      <w:szCs w:val="56"/>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spacing w:before="0" w:after="0"/>
    </w:pPr>
    <w:rPr>
      <w:rFonts w:eastAsiaTheme="minorEastAsia" w:cstheme="minorBidi"/>
      <w:i/>
      <w:spacing w:val="15"/>
      <w:sz w:val="24"/>
      <w:szCs w:val="22"/>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ind w:left="720"/>
      <w:contextualSpacing/>
    </w:pPr>
  </w:style>
  <w:style w:type="paragraph" w:customStyle="1" w:styleId="TabellePMHplain">
    <w:name w:val="Tabelle_PMH_plain"/>
    <w:basedOn w:val="Standard"/>
    <w:rsid w:val="00A454A7"/>
    <w:pPr>
      <w:numPr>
        <w:numId w:val="1"/>
      </w:numPr>
      <w:tabs>
        <w:tab w:val="left" w:pos="357"/>
      </w:tabs>
      <w:spacing w:before="60" w:after="60"/>
    </w:pPr>
    <w:rPr>
      <w:sz w:val="16"/>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99"/>
    <w:unhideWhenUsed/>
    <w:rsid w:val="00224B84"/>
    <w:pPr>
      <w:tabs>
        <w:tab w:val="center" w:pos="4536"/>
        <w:tab w:val="right" w:pos="9072"/>
      </w:tabs>
      <w:spacing w:before="0" w:after="0"/>
    </w:pPr>
  </w:style>
  <w:style w:type="character" w:styleId="Hyperlink">
    <w:name w:val="Hyperlink"/>
    <w:basedOn w:val="Absatz-Standardschriftart"/>
    <w:uiPriority w:val="99"/>
    <w:unhideWhenUsed/>
    <w:rsid w:val="00CB275C"/>
    <w:rPr>
      <w:color w:val="0000FF"/>
      <w:u w:val="single"/>
    </w:rPr>
  </w:style>
  <w:style w:type="character" w:customStyle="1" w:styleId="KopfzeileZchn">
    <w:name w:val="Kopfzeile Zchn"/>
    <w:basedOn w:val="Absatz-Standardschriftart"/>
    <w:link w:val="Kopfzeile"/>
    <w:uiPriority w:val="99"/>
    <w:rsid w:val="00224B84"/>
  </w:style>
  <w:style w:type="paragraph" w:styleId="Fuzeile">
    <w:name w:val="footer"/>
    <w:basedOn w:val="Standard"/>
    <w:link w:val="FuzeileZchn"/>
    <w:uiPriority w:val="99"/>
    <w:unhideWhenUsed/>
    <w:rsid w:val="00224B84"/>
    <w:pPr>
      <w:tabs>
        <w:tab w:val="center" w:pos="4536"/>
        <w:tab w:val="right" w:pos="9072"/>
      </w:tabs>
      <w:spacing w:before="0" w:after="0"/>
    </w:pPr>
  </w:style>
  <w:style w:type="character" w:customStyle="1" w:styleId="FuzeileZchn">
    <w:name w:val="Fußzeile Zchn"/>
    <w:basedOn w:val="Absatz-Standardschriftart"/>
    <w:link w:val="Fuzeile"/>
    <w:uiPriority w:val="99"/>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6D2F58"/>
    <w:pPr>
      <w:spacing w:before="0" w:after="100"/>
    </w:pPr>
  </w:style>
  <w:style w:type="paragraph" w:styleId="Verzeichnis2">
    <w:name w:val="toc 2"/>
    <w:basedOn w:val="Standard"/>
    <w:next w:val="Standard"/>
    <w:autoRedefine/>
    <w:uiPriority w:val="39"/>
    <w:unhideWhenUsed/>
    <w:rsid w:val="006D2F58"/>
    <w:pPr>
      <w:spacing w:before="0" w:after="100"/>
      <w:ind w:left="198"/>
    </w:pPr>
  </w:style>
  <w:style w:type="paragraph" w:styleId="Unterschrift">
    <w:name w:val="Signature"/>
    <w:basedOn w:val="Standard"/>
    <w:link w:val="UnterschriftZchn"/>
    <w:uiPriority w:val="99"/>
    <w:unhideWhenUsed/>
    <w:rsid w:val="009767D1"/>
    <w:pPr>
      <w:spacing w:before="0" w:after="0"/>
      <w:jc w:val="center"/>
    </w:pPr>
    <w:rPr>
      <w:sz w:val="16"/>
    </w:rPr>
  </w:style>
  <w:style w:type="character" w:customStyle="1" w:styleId="UnterschriftZchn">
    <w:name w:val="Unterschrift Zchn"/>
    <w:basedOn w:val="Absatz-Standardschriftart"/>
    <w:link w:val="Unterschrift"/>
    <w:uiPriority w:val="99"/>
    <w:rsid w:val="009767D1"/>
    <w:rPr>
      <w:sz w:val="16"/>
    </w:rPr>
  </w:style>
  <w:style w:type="paragraph" w:styleId="Sprechblasentext">
    <w:name w:val="Balloon Text"/>
    <w:basedOn w:val="Standard"/>
    <w:link w:val="SprechblasentextZchn"/>
    <w:uiPriority w:val="99"/>
    <w:semiHidden/>
    <w:unhideWhenUsed/>
    <w:rsid w:val="002057F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57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cells.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8CF13E50AD9647B4188C5473A28D2A" ma:contentTypeVersion="13" ma:contentTypeDescription="Ein neues Dokument erstellen." ma:contentTypeScope="" ma:versionID="439dd5452a5607240baa7619955600b6">
  <xsd:schema xmlns:xsd="http://www.w3.org/2001/XMLSchema" xmlns:xs="http://www.w3.org/2001/XMLSchema" xmlns:p="http://schemas.microsoft.com/office/2006/metadata/properties" xmlns:ns3="abb4f9e2-a0a2-4294-a737-602ffabd7131" xmlns:ns4="52cc1742-a1f6-4dd9-8cbe-f16353a3b0d0" targetNamespace="http://schemas.microsoft.com/office/2006/metadata/properties" ma:root="true" ma:fieldsID="db52ff9c2e53cbcb4f8dfbbe1de9d7e1" ns3:_="" ns4:_="">
    <xsd:import namespace="abb4f9e2-a0a2-4294-a737-602ffabd7131"/>
    <xsd:import namespace="52cc1742-a1f6-4dd9-8cbe-f16353a3b0d0"/>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4f9e2-a0a2-4294-a737-602ffabd713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cc1742-a1f6-4dd9-8cbe-f16353a3b0d0"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element name="SharingHintHash" ma:index="1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bb4f9e2-a0a2-4294-a737-602ffabd713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DAF48-4874-42E5-8AA7-B8AF54DDA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4f9e2-a0a2-4294-a737-602ffabd7131"/>
    <ds:schemaRef ds:uri="52cc1742-a1f6-4dd9-8cbe-f16353a3b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B55D1C-897D-4938-9016-94B2E65694A2}">
  <ds:schemaRefs>
    <ds:schemaRef ds:uri="http://schemas.microsoft.com/sharepoint/v3/contenttype/forms"/>
  </ds:schemaRefs>
</ds:datastoreItem>
</file>

<file path=customXml/itemProps3.xml><?xml version="1.0" encoding="utf-8"?>
<ds:datastoreItem xmlns:ds="http://schemas.openxmlformats.org/officeDocument/2006/customXml" ds:itemID="{8B8C8EDC-C7F0-4040-B4C4-813DF4973415}">
  <ds:schemaRefs>
    <ds:schemaRef ds:uri="http://purl.org/dc/terms/"/>
    <ds:schemaRef ds:uri="http://schemas.openxmlformats.org/package/2006/metadata/core-properties"/>
    <ds:schemaRef ds:uri="http://schemas.microsoft.com/office/2006/documentManagement/types"/>
    <ds:schemaRef ds:uri="abb4f9e2-a0a2-4294-a737-602ffabd7131"/>
    <ds:schemaRef ds:uri="http://purl.org/dc/elements/1.1/"/>
    <ds:schemaRef ds:uri="http://schemas.microsoft.com/office/2006/metadata/properties"/>
    <ds:schemaRef ds:uri="http://schemas.microsoft.com/office/infopath/2007/PartnerControls"/>
    <ds:schemaRef ds:uri="52cc1742-a1f6-4dd9-8cbe-f16353a3b0d0"/>
    <ds:schemaRef ds:uri="http://www.w3.org/XML/1998/namespace"/>
    <ds:schemaRef ds:uri="http://purl.org/dc/dcmitype/"/>
  </ds:schemaRefs>
</ds:datastoreItem>
</file>

<file path=customXml/itemProps4.xml><?xml version="1.0" encoding="utf-8"?>
<ds:datastoreItem xmlns:ds="http://schemas.openxmlformats.org/officeDocument/2006/customXml" ds:itemID="{917CD748-5212-4AA3-B861-387F27701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4350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 - external</dc:creator>
  <cp:keywords/>
  <dc:description/>
  <cp:lastModifiedBy>Wolfram Stahl - external</cp:lastModifiedBy>
  <cp:revision>2</cp:revision>
  <dcterms:created xsi:type="dcterms:W3CDTF">2023-03-29T08:39:00Z</dcterms:created>
  <dcterms:modified xsi:type="dcterms:W3CDTF">2023-03-29T08:39:00Z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2023-03-27T09:29:43Z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32a4d898-2194-43f7-a6d1-b33ed8dacac2</vt:lpwstr>
  </property>
  <property fmtid="{D5CDD505-2E9C-101B-9397-08002B2CF9AE}" pid="8" name="MSIP_Label_d3d538fd-7cd2-4b8b-bd42-f6ee8cc1e568_ContentBits">
    <vt:lpwstr>0</vt:lpwstr>
  </property>
  <property fmtid="{D5CDD505-2E9C-101B-9397-08002B2CF9AE}" pid="9" name="ContentTypeId">
    <vt:lpwstr>0x0101000B8CF13E50AD9647B4188C5473A28D2A</vt:lpwstr>
  </property>
</Properties>
</file>