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A4EA" w14:textId="4A0C5A6A" w:rsidR="00673563" w:rsidRDefault="00E04450" w:rsidP="00673563">
      <w:pPr>
        <w:spacing w:after="0" w:line="360" w:lineRule="auto"/>
        <w:ind w:right="-2"/>
        <w:rPr>
          <w:rFonts w:ascii="Arial" w:hAnsi="Arial" w:cs="Arial"/>
          <w:bCs/>
          <w:sz w:val="20"/>
          <w:szCs w:val="20"/>
        </w:rPr>
      </w:pPr>
      <w:r w:rsidRPr="00E04450">
        <w:rPr>
          <w:rFonts w:ascii="Arial" w:eastAsia="Times New Roman" w:hAnsi="Arial" w:cs="Arial"/>
          <w:b/>
          <w:sz w:val="20"/>
          <w:szCs w:val="20"/>
          <w:u w:val="single"/>
          <w:lang w:eastAsia="de-DE"/>
        </w:rPr>
        <w:t>TÜV Rheinland startet neues Programm zur Risikominimierung bei der Finanzierung von P</w:t>
      </w:r>
      <w:r w:rsidR="00CC4F53">
        <w:rPr>
          <w:rFonts w:ascii="Arial" w:eastAsia="Times New Roman" w:hAnsi="Arial" w:cs="Arial"/>
          <w:b/>
          <w:sz w:val="20"/>
          <w:szCs w:val="20"/>
          <w:u w:val="single"/>
          <w:lang w:eastAsia="de-DE"/>
        </w:rPr>
        <w:t>hotovoltaik-Projekten</w:t>
      </w:r>
      <w:r w:rsidR="00673563" w:rsidRPr="00317BD6">
        <w:rPr>
          <w:rFonts w:ascii="Arial" w:hAnsi="Arial" w:cs="Arial"/>
          <w:bCs/>
          <w:sz w:val="20"/>
          <w:szCs w:val="20"/>
        </w:rPr>
        <w:t xml:space="preserve"> </w:t>
      </w:r>
    </w:p>
    <w:p w14:paraId="538164CC" w14:textId="77777777" w:rsidR="009C5960" w:rsidRDefault="009C5960" w:rsidP="00673563">
      <w:pPr>
        <w:spacing w:after="0" w:line="360" w:lineRule="auto"/>
        <w:ind w:right="-2"/>
        <w:rPr>
          <w:rFonts w:ascii="Arial" w:hAnsi="Arial" w:cs="Arial"/>
          <w:bCs/>
          <w:sz w:val="20"/>
          <w:szCs w:val="20"/>
        </w:rPr>
      </w:pPr>
    </w:p>
    <w:p w14:paraId="2180BC38" w14:textId="7241A987" w:rsidR="009C5960" w:rsidRPr="00317BD6" w:rsidRDefault="009C5960" w:rsidP="00673563">
      <w:pPr>
        <w:spacing w:after="0" w:line="360" w:lineRule="auto"/>
        <w:ind w:right="-2"/>
        <w:rPr>
          <w:rFonts w:ascii="Arial" w:hAnsi="Arial" w:cs="Arial"/>
          <w:bCs/>
          <w:sz w:val="20"/>
          <w:szCs w:val="20"/>
        </w:rPr>
      </w:pPr>
      <w:r w:rsidRPr="009C5960">
        <w:rPr>
          <w:rFonts w:ascii="Arial" w:hAnsi="Arial" w:cs="Arial"/>
          <w:bCs/>
          <w:sz w:val="20"/>
          <w:szCs w:val="20"/>
        </w:rPr>
        <w:t xml:space="preserve">Innovative Risikoanalyse für </w:t>
      </w:r>
      <w:r w:rsidR="00BC2607">
        <w:rPr>
          <w:rFonts w:ascii="Arial" w:hAnsi="Arial" w:cs="Arial"/>
          <w:bCs/>
          <w:sz w:val="20"/>
          <w:szCs w:val="20"/>
        </w:rPr>
        <w:t>abgesicherte</w:t>
      </w:r>
      <w:r w:rsidRPr="009C5960">
        <w:rPr>
          <w:rFonts w:ascii="Arial" w:hAnsi="Arial" w:cs="Arial"/>
          <w:bCs/>
          <w:sz w:val="20"/>
          <w:szCs w:val="20"/>
        </w:rPr>
        <w:t xml:space="preserve"> Investitionen</w:t>
      </w:r>
      <w:r>
        <w:rPr>
          <w:rFonts w:ascii="Arial" w:hAnsi="Arial" w:cs="Arial"/>
          <w:bCs/>
          <w:sz w:val="20"/>
          <w:szCs w:val="20"/>
        </w:rPr>
        <w:t xml:space="preserve"> / </w:t>
      </w:r>
      <w:r w:rsidR="00BC2607">
        <w:rPr>
          <w:rFonts w:ascii="Arial" w:hAnsi="Arial" w:cs="Arial"/>
          <w:bCs/>
          <w:sz w:val="20"/>
          <w:szCs w:val="20"/>
        </w:rPr>
        <w:t>Im Fokus: Qualität und Sicherheit</w:t>
      </w:r>
      <w:r w:rsidR="000200EC">
        <w:rPr>
          <w:rFonts w:ascii="Arial" w:hAnsi="Arial" w:cs="Arial"/>
          <w:bCs/>
          <w:sz w:val="20"/>
          <w:szCs w:val="20"/>
        </w:rPr>
        <w:t xml:space="preserve"> von Photovoltaik-Anlagen</w:t>
      </w:r>
      <w:r w:rsidR="00BC2607">
        <w:rPr>
          <w:rFonts w:ascii="Arial" w:hAnsi="Arial" w:cs="Arial"/>
          <w:bCs/>
          <w:sz w:val="20"/>
          <w:szCs w:val="20"/>
        </w:rPr>
        <w:t xml:space="preserve"> / Richtet sich an </w:t>
      </w:r>
      <w:r w:rsidR="00CC7D54">
        <w:rPr>
          <w:rFonts w:ascii="Arial" w:hAnsi="Arial" w:cs="Arial"/>
          <w:bCs/>
          <w:sz w:val="20"/>
          <w:szCs w:val="20"/>
        </w:rPr>
        <w:t xml:space="preserve">Investoren sowie </w:t>
      </w:r>
      <w:r w:rsidR="00BC2607">
        <w:rPr>
          <w:rFonts w:ascii="Arial" w:hAnsi="Arial" w:cs="Arial"/>
          <w:bCs/>
          <w:sz w:val="20"/>
          <w:szCs w:val="20"/>
        </w:rPr>
        <w:t>Hersteller, Händler</w:t>
      </w:r>
      <w:r w:rsidR="00CC7D54">
        <w:rPr>
          <w:rFonts w:ascii="Arial" w:hAnsi="Arial" w:cs="Arial"/>
          <w:bCs/>
          <w:sz w:val="20"/>
          <w:szCs w:val="20"/>
        </w:rPr>
        <w:t xml:space="preserve"> und </w:t>
      </w:r>
      <w:r w:rsidR="00BC2607">
        <w:rPr>
          <w:rFonts w:ascii="Arial" w:hAnsi="Arial" w:cs="Arial"/>
          <w:bCs/>
          <w:sz w:val="20"/>
          <w:szCs w:val="20"/>
        </w:rPr>
        <w:t xml:space="preserve">Betreiber von Solarinfrastruktur / Mehr Infos unter: </w:t>
      </w:r>
      <w:hyperlink r:id="rId11" w:history="1">
        <w:r w:rsidR="00BC2607" w:rsidRPr="00DC7480">
          <w:rPr>
            <w:rStyle w:val="Hyperlink"/>
            <w:rFonts w:ascii="Arial" w:hAnsi="Arial" w:cs="Arial"/>
            <w:bCs/>
            <w:sz w:val="20"/>
            <w:szCs w:val="20"/>
          </w:rPr>
          <w:t>www.tuv.com/solar</w:t>
        </w:r>
      </w:hyperlink>
      <w:r w:rsidR="00BC2607">
        <w:rPr>
          <w:rFonts w:ascii="Arial" w:hAnsi="Arial" w:cs="Arial"/>
          <w:bCs/>
          <w:sz w:val="20"/>
          <w:szCs w:val="20"/>
        </w:rPr>
        <w:t xml:space="preserve"> </w:t>
      </w:r>
    </w:p>
    <w:p w14:paraId="398B854B" w14:textId="77777777" w:rsidR="00673563" w:rsidRPr="00317BD6" w:rsidRDefault="00673563" w:rsidP="00673563">
      <w:pPr>
        <w:spacing w:after="0" w:line="360" w:lineRule="auto"/>
        <w:ind w:right="-2"/>
        <w:rPr>
          <w:rFonts w:ascii="Arial" w:hAnsi="Arial" w:cs="Arial"/>
          <w:bCs/>
          <w:sz w:val="20"/>
          <w:szCs w:val="20"/>
        </w:rPr>
      </w:pPr>
    </w:p>
    <w:p w14:paraId="62200233" w14:textId="671DA9D0" w:rsidR="00D335DB" w:rsidRPr="00D335DB" w:rsidRDefault="00E04450" w:rsidP="00D335DB">
      <w:pPr>
        <w:tabs>
          <w:tab w:val="left" w:pos="720"/>
          <w:tab w:val="left" w:pos="7380"/>
        </w:tabs>
        <w:spacing w:after="0" w:line="360" w:lineRule="auto"/>
        <w:rPr>
          <w:rFonts w:ascii="Arial" w:hAnsi="Arial" w:cs="Arial"/>
          <w:bCs/>
          <w:sz w:val="20"/>
          <w:szCs w:val="20"/>
        </w:rPr>
      </w:pPr>
      <w:r>
        <w:rPr>
          <w:rFonts w:ascii="Arial" w:hAnsi="Arial" w:cs="Arial"/>
          <w:b/>
          <w:sz w:val="20"/>
          <w:szCs w:val="20"/>
        </w:rPr>
        <w:t>Köln,</w:t>
      </w:r>
      <w:r w:rsidR="00EE4A11">
        <w:rPr>
          <w:rFonts w:ascii="Arial" w:hAnsi="Arial" w:cs="Arial"/>
          <w:b/>
          <w:sz w:val="20"/>
          <w:szCs w:val="20"/>
        </w:rPr>
        <w:t xml:space="preserve"> </w:t>
      </w:r>
      <w:r w:rsidR="00313807">
        <w:rPr>
          <w:rFonts w:ascii="Arial" w:hAnsi="Arial" w:cs="Arial"/>
          <w:b/>
          <w:sz w:val="20"/>
          <w:szCs w:val="20"/>
        </w:rPr>
        <w:t>3. Juni</w:t>
      </w:r>
      <w:r w:rsidR="00D335DB">
        <w:rPr>
          <w:rFonts w:ascii="Arial" w:hAnsi="Arial" w:cs="Arial"/>
          <w:b/>
          <w:sz w:val="20"/>
          <w:szCs w:val="20"/>
        </w:rPr>
        <w:t xml:space="preserve"> 2024. </w:t>
      </w:r>
      <w:r w:rsidR="00D335DB" w:rsidRPr="00D335DB">
        <w:rPr>
          <w:rFonts w:ascii="Arial" w:hAnsi="Arial" w:cs="Arial"/>
          <w:bCs/>
          <w:sz w:val="20"/>
          <w:szCs w:val="20"/>
        </w:rPr>
        <w:t xml:space="preserve">TÜV Rheinland, führender Anbieter </w:t>
      </w:r>
      <w:r w:rsidR="009E40DE">
        <w:rPr>
          <w:rFonts w:ascii="Arial" w:hAnsi="Arial" w:cs="Arial"/>
          <w:bCs/>
          <w:sz w:val="20"/>
          <w:szCs w:val="20"/>
        </w:rPr>
        <w:t xml:space="preserve">für </w:t>
      </w:r>
      <w:r w:rsidR="00D335DB" w:rsidRPr="00D335DB">
        <w:rPr>
          <w:rFonts w:ascii="Arial" w:hAnsi="Arial" w:cs="Arial"/>
          <w:bCs/>
          <w:sz w:val="20"/>
          <w:szCs w:val="20"/>
        </w:rPr>
        <w:t xml:space="preserve">technische </w:t>
      </w:r>
      <w:r w:rsidR="009E40DE">
        <w:rPr>
          <w:rFonts w:ascii="Arial" w:hAnsi="Arial" w:cs="Arial"/>
          <w:bCs/>
          <w:sz w:val="20"/>
          <w:szCs w:val="20"/>
        </w:rPr>
        <w:t>Prüfd</w:t>
      </w:r>
      <w:r w:rsidR="00D335DB" w:rsidRPr="00D335DB">
        <w:rPr>
          <w:rFonts w:ascii="Arial" w:hAnsi="Arial" w:cs="Arial"/>
          <w:bCs/>
          <w:sz w:val="20"/>
          <w:szCs w:val="20"/>
        </w:rPr>
        <w:t>ienstleistungen</w:t>
      </w:r>
      <w:r w:rsidR="009E40DE">
        <w:rPr>
          <w:rFonts w:ascii="Arial" w:hAnsi="Arial" w:cs="Arial"/>
          <w:bCs/>
          <w:sz w:val="20"/>
          <w:szCs w:val="20"/>
        </w:rPr>
        <w:t xml:space="preserve"> in der Solarbranche</w:t>
      </w:r>
      <w:r w:rsidR="00D335DB" w:rsidRPr="00D335DB">
        <w:rPr>
          <w:rFonts w:ascii="Arial" w:hAnsi="Arial" w:cs="Arial"/>
          <w:bCs/>
          <w:sz w:val="20"/>
          <w:szCs w:val="20"/>
        </w:rPr>
        <w:t xml:space="preserve">, hat ein neues Programm zur Unterstützung von Banken und Investoren bei der Projektfinanzierung mittlerer und großer Photovoltaikanlagen (PV-Anlagen) eingeführt. </w:t>
      </w:r>
      <w:bookmarkStart w:id="0" w:name="_Hlk167863552"/>
      <w:r w:rsidR="00D335DB" w:rsidRPr="00D335DB">
        <w:rPr>
          <w:rFonts w:ascii="Arial" w:hAnsi="Arial" w:cs="Arial"/>
          <w:bCs/>
          <w:sz w:val="20"/>
          <w:szCs w:val="20"/>
        </w:rPr>
        <w:t xml:space="preserve">Dieses Programm </w:t>
      </w:r>
      <w:r w:rsidR="009E40DE">
        <w:rPr>
          <w:rFonts w:ascii="Arial" w:hAnsi="Arial" w:cs="Arial"/>
          <w:bCs/>
          <w:sz w:val="20"/>
          <w:szCs w:val="20"/>
        </w:rPr>
        <w:t>hat zum Ziel</w:t>
      </w:r>
      <w:r w:rsidR="00D335DB" w:rsidRPr="00D335DB">
        <w:rPr>
          <w:rFonts w:ascii="Arial" w:hAnsi="Arial" w:cs="Arial"/>
          <w:bCs/>
          <w:sz w:val="20"/>
          <w:szCs w:val="20"/>
        </w:rPr>
        <w:t>, technische Risiken zu minimieren und die Qualität sowie Sicherheit von PV-Projekten zu erhöhen.</w:t>
      </w:r>
    </w:p>
    <w:p w14:paraId="0101524C" w14:textId="77777777" w:rsidR="00D335DB" w:rsidRPr="00D335DB" w:rsidRDefault="00D335DB" w:rsidP="00D335DB">
      <w:pPr>
        <w:tabs>
          <w:tab w:val="left" w:pos="720"/>
          <w:tab w:val="left" w:pos="7380"/>
        </w:tabs>
        <w:spacing w:after="0" w:line="360" w:lineRule="auto"/>
        <w:rPr>
          <w:rFonts w:ascii="Arial" w:hAnsi="Arial" w:cs="Arial"/>
          <w:bCs/>
          <w:sz w:val="20"/>
          <w:szCs w:val="20"/>
        </w:rPr>
      </w:pPr>
    </w:p>
    <w:p w14:paraId="2ABED313" w14:textId="7B43548F" w:rsidR="00D335DB" w:rsidRPr="00D335DB" w:rsidRDefault="00D335DB" w:rsidP="00D335DB">
      <w:pPr>
        <w:tabs>
          <w:tab w:val="left" w:pos="720"/>
          <w:tab w:val="left" w:pos="7380"/>
        </w:tabs>
        <w:spacing w:after="0" w:line="360" w:lineRule="auto"/>
        <w:rPr>
          <w:rFonts w:ascii="Arial" w:hAnsi="Arial" w:cs="Arial"/>
          <w:bCs/>
          <w:sz w:val="20"/>
          <w:szCs w:val="20"/>
        </w:rPr>
      </w:pPr>
      <w:r w:rsidRPr="00D335DB">
        <w:rPr>
          <w:rFonts w:ascii="Arial" w:hAnsi="Arial" w:cs="Arial"/>
          <w:bCs/>
          <w:sz w:val="20"/>
          <w:szCs w:val="20"/>
        </w:rPr>
        <w:t xml:space="preserve">Angesichts des kontinuierlichen Anstiegs der Zahl von Photovoltaikanlagen und dem damit verbundenen erhöhten Finanzierungsbedarf, adressiert TÜV Rheinland </w:t>
      </w:r>
      <w:r w:rsidR="00A74779">
        <w:rPr>
          <w:rFonts w:ascii="Arial" w:hAnsi="Arial" w:cs="Arial"/>
          <w:bCs/>
          <w:sz w:val="20"/>
          <w:szCs w:val="20"/>
        </w:rPr>
        <w:t xml:space="preserve">damit </w:t>
      </w:r>
      <w:r w:rsidRPr="00D335DB">
        <w:rPr>
          <w:rFonts w:ascii="Arial" w:hAnsi="Arial" w:cs="Arial"/>
          <w:bCs/>
          <w:sz w:val="20"/>
          <w:szCs w:val="20"/>
        </w:rPr>
        <w:t xml:space="preserve">die Herausforderungen, die mit dem technologischen Fortschritt und den damit einhergehenden technischen Risiken verbunden sind. </w:t>
      </w:r>
      <w:bookmarkEnd w:id="0"/>
      <w:r w:rsidRPr="00D335DB">
        <w:rPr>
          <w:rFonts w:ascii="Arial" w:hAnsi="Arial" w:cs="Arial"/>
          <w:bCs/>
          <w:sz w:val="20"/>
          <w:szCs w:val="20"/>
        </w:rPr>
        <w:t>Diese Risiken können zu signifikanten Mindererträgen oder sogar zum Ausfall von Anlagen führen.</w:t>
      </w:r>
    </w:p>
    <w:p w14:paraId="75B452D9" w14:textId="77777777" w:rsidR="00D335DB" w:rsidRPr="00D335DB" w:rsidRDefault="00D335DB" w:rsidP="00D335DB">
      <w:pPr>
        <w:tabs>
          <w:tab w:val="left" w:pos="720"/>
          <w:tab w:val="left" w:pos="7380"/>
        </w:tabs>
        <w:spacing w:after="0" w:line="360" w:lineRule="auto"/>
        <w:rPr>
          <w:rFonts w:ascii="Arial" w:hAnsi="Arial" w:cs="Arial"/>
          <w:bCs/>
          <w:sz w:val="20"/>
          <w:szCs w:val="20"/>
        </w:rPr>
      </w:pPr>
    </w:p>
    <w:p w14:paraId="21DB3719" w14:textId="3D5432CD" w:rsidR="00D335DB" w:rsidRPr="00D335DB" w:rsidRDefault="00D335DB" w:rsidP="00D335DB">
      <w:pPr>
        <w:tabs>
          <w:tab w:val="left" w:pos="720"/>
          <w:tab w:val="left" w:pos="7380"/>
        </w:tabs>
        <w:spacing w:after="0" w:line="360" w:lineRule="auto"/>
        <w:rPr>
          <w:rFonts w:ascii="Arial" w:hAnsi="Arial" w:cs="Arial"/>
          <w:bCs/>
          <w:sz w:val="20"/>
          <w:szCs w:val="20"/>
        </w:rPr>
      </w:pPr>
      <w:r w:rsidRPr="00D335DB">
        <w:rPr>
          <w:rFonts w:ascii="Arial" w:hAnsi="Arial" w:cs="Arial"/>
          <w:bCs/>
          <w:sz w:val="20"/>
          <w:szCs w:val="20"/>
        </w:rPr>
        <w:t>Roma</w:t>
      </w:r>
      <w:r w:rsidR="009E40DE">
        <w:rPr>
          <w:rFonts w:ascii="Arial" w:hAnsi="Arial" w:cs="Arial"/>
          <w:bCs/>
          <w:sz w:val="20"/>
          <w:szCs w:val="20"/>
        </w:rPr>
        <w:t>n</w:t>
      </w:r>
      <w:r w:rsidRPr="00D335DB">
        <w:rPr>
          <w:rFonts w:ascii="Arial" w:hAnsi="Arial" w:cs="Arial"/>
          <w:bCs/>
          <w:sz w:val="20"/>
          <w:szCs w:val="20"/>
        </w:rPr>
        <w:t xml:space="preserve"> Brück, Solarexperte bei TÜV Rheinland, betont die Bedeutung des neuen Programms: “In einer Zeit, in der die Nachfrage nach erneuerbaren Energien und die Komplexität der Projekte zunehmen, ist es entscheidend, dass Investoren und Finanzinstitute auf solide und umfassende Risikoanalysen vertrauen können. Unser Programm bietet genau das – eine </w:t>
      </w:r>
      <w:r w:rsidR="007D1018">
        <w:rPr>
          <w:rFonts w:ascii="Arial" w:hAnsi="Arial" w:cs="Arial"/>
          <w:bCs/>
          <w:sz w:val="20"/>
          <w:szCs w:val="20"/>
        </w:rPr>
        <w:t xml:space="preserve">individuelle </w:t>
      </w:r>
      <w:r w:rsidRPr="00D335DB">
        <w:rPr>
          <w:rFonts w:ascii="Arial" w:hAnsi="Arial" w:cs="Arial"/>
          <w:bCs/>
          <w:sz w:val="20"/>
          <w:szCs w:val="20"/>
        </w:rPr>
        <w:t>Bewertung und Risikominderung, die darauf abzielt, die Finanzierbarkeit und den langfristigen Erfolg von PV-Projekten zu sichern.”</w:t>
      </w:r>
    </w:p>
    <w:p w14:paraId="71DD774C" w14:textId="77777777" w:rsidR="00D335DB" w:rsidRPr="00D335DB" w:rsidRDefault="00D335DB" w:rsidP="00D335DB">
      <w:pPr>
        <w:tabs>
          <w:tab w:val="left" w:pos="720"/>
          <w:tab w:val="left" w:pos="7380"/>
        </w:tabs>
        <w:spacing w:after="0" w:line="360" w:lineRule="auto"/>
        <w:rPr>
          <w:rFonts w:ascii="Arial" w:hAnsi="Arial" w:cs="Arial"/>
          <w:bCs/>
          <w:sz w:val="20"/>
          <w:szCs w:val="20"/>
        </w:rPr>
      </w:pPr>
    </w:p>
    <w:p w14:paraId="3AB5D1C1" w14:textId="557313F7" w:rsidR="00D335DB" w:rsidRPr="00D335DB" w:rsidRDefault="00D335DB" w:rsidP="00D335DB">
      <w:pPr>
        <w:tabs>
          <w:tab w:val="left" w:pos="720"/>
          <w:tab w:val="left" w:pos="7380"/>
        </w:tabs>
        <w:spacing w:after="0" w:line="360" w:lineRule="auto"/>
        <w:rPr>
          <w:rFonts w:ascii="Arial" w:hAnsi="Arial" w:cs="Arial"/>
          <w:bCs/>
          <w:sz w:val="20"/>
          <w:szCs w:val="20"/>
        </w:rPr>
      </w:pPr>
      <w:r w:rsidRPr="00D335DB">
        <w:rPr>
          <w:rFonts w:ascii="Arial" w:hAnsi="Arial" w:cs="Arial"/>
          <w:bCs/>
          <w:sz w:val="20"/>
          <w:szCs w:val="20"/>
        </w:rPr>
        <w:t xml:space="preserve">Das Programm bietet eine risikoorientierte und ökonomisch angepasste Vorgehensweise zur Qualitätssicherung und Risikominderung. Es basiert auf einer detaillierten Risikoanalyse aller technischen Aspekte, die auf die spezifische Risikosituation jedes Projekts abgestimmt </w:t>
      </w:r>
      <w:proofErr w:type="gramStart"/>
      <w:r w:rsidRPr="00D335DB">
        <w:rPr>
          <w:rFonts w:ascii="Arial" w:hAnsi="Arial" w:cs="Arial"/>
          <w:bCs/>
          <w:sz w:val="20"/>
          <w:szCs w:val="20"/>
        </w:rPr>
        <w:t>werden</w:t>
      </w:r>
      <w:proofErr w:type="gramEnd"/>
      <w:r w:rsidRPr="00D335DB">
        <w:rPr>
          <w:rFonts w:ascii="Arial" w:hAnsi="Arial" w:cs="Arial"/>
          <w:bCs/>
          <w:sz w:val="20"/>
          <w:szCs w:val="20"/>
        </w:rPr>
        <w:t xml:space="preserve"> kann.</w:t>
      </w:r>
      <w:r w:rsidR="004C371C">
        <w:rPr>
          <w:rFonts w:ascii="Arial" w:hAnsi="Arial" w:cs="Arial"/>
          <w:bCs/>
          <w:sz w:val="20"/>
          <w:szCs w:val="20"/>
        </w:rPr>
        <w:t xml:space="preserve"> </w:t>
      </w:r>
      <w:r w:rsidRPr="00D335DB">
        <w:rPr>
          <w:rFonts w:ascii="Arial" w:hAnsi="Arial" w:cs="Arial"/>
          <w:bCs/>
          <w:sz w:val="20"/>
          <w:szCs w:val="20"/>
        </w:rPr>
        <w:t>Das finale Gutachten von TÜV Rheinland umfasst alle finanzierungsrelevanten Projektdetails, Risiken und Risikominderungsmaßnahmen, um Banken und Investoren eine fundierte Entscheidungsgrundlage zu bieten.</w:t>
      </w:r>
    </w:p>
    <w:p w14:paraId="6C3CA769" w14:textId="77777777" w:rsidR="00D335DB" w:rsidRPr="00D335DB" w:rsidRDefault="00D335DB" w:rsidP="00D335DB">
      <w:pPr>
        <w:tabs>
          <w:tab w:val="left" w:pos="720"/>
          <w:tab w:val="left" w:pos="7380"/>
        </w:tabs>
        <w:spacing w:after="0" w:line="360" w:lineRule="auto"/>
        <w:rPr>
          <w:rFonts w:ascii="Arial" w:hAnsi="Arial" w:cs="Arial"/>
          <w:bCs/>
          <w:sz w:val="20"/>
          <w:szCs w:val="20"/>
        </w:rPr>
      </w:pPr>
    </w:p>
    <w:p w14:paraId="595E845F" w14:textId="187E6CC6" w:rsidR="007D0597" w:rsidRDefault="00D335DB" w:rsidP="00673563">
      <w:pPr>
        <w:tabs>
          <w:tab w:val="left" w:pos="720"/>
          <w:tab w:val="left" w:pos="7380"/>
        </w:tabs>
        <w:spacing w:after="0" w:line="360" w:lineRule="auto"/>
        <w:rPr>
          <w:rFonts w:ascii="Arial" w:hAnsi="Arial" w:cs="Arial"/>
          <w:color w:val="000000"/>
          <w:sz w:val="20"/>
          <w:szCs w:val="20"/>
        </w:rPr>
      </w:pPr>
      <w:r w:rsidRPr="00D335DB">
        <w:rPr>
          <w:rFonts w:ascii="Arial" w:hAnsi="Arial" w:cs="Arial"/>
          <w:bCs/>
          <w:sz w:val="20"/>
          <w:szCs w:val="20"/>
        </w:rPr>
        <w:lastRenderedPageBreak/>
        <w:t>Interessierte sind eingeladen, TÜV Rheinland auf der Intersolar am Stand A5 374 zu besuchen, um mehr über das Programm zu erfahren und sich mit unseren Experten auszutauschen.</w:t>
      </w:r>
      <w:r w:rsidR="004C371C">
        <w:rPr>
          <w:rFonts w:ascii="Arial" w:hAnsi="Arial" w:cs="Arial"/>
          <w:bCs/>
          <w:sz w:val="20"/>
          <w:szCs w:val="20"/>
        </w:rPr>
        <w:t xml:space="preserve"> Weitere Infos</w:t>
      </w:r>
      <w:r w:rsidR="007C4400">
        <w:rPr>
          <w:rFonts w:ascii="Arial" w:hAnsi="Arial" w:cs="Arial"/>
          <w:bCs/>
          <w:sz w:val="20"/>
          <w:szCs w:val="20"/>
        </w:rPr>
        <w:t xml:space="preserve"> auch</w:t>
      </w:r>
      <w:r w:rsidR="004C371C">
        <w:rPr>
          <w:rFonts w:ascii="Arial" w:hAnsi="Arial" w:cs="Arial"/>
          <w:bCs/>
          <w:sz w:val="20"/>
          <w:szCs w:val="20"/>
        </w:rPr>
        <w:t xml:space="preserve"> unter </w:t>
      </w:r>
      <w:hyperlink r:id="rId12" w:history="1">
        <w:r w:rsidR="004C371C" w:rsidRPr="00DC7480">
          <w:rPr>
            <w:rStyle w:val="Hyperlink"/>
            <w:rFonts w:ascii="Arial" w:hAnsi="Arial" w:cs="Arial"/>
            <w:bCs/>
            <w:sz w:val="20"/>
            <w:szCs w:val="20"/>
          </w:rPr>
          <w:t>www.tuv.com/solar</w:t>
        </w:r>
      </w:hyperlink>
      <w:r w:rsidR="004C371C">
        <w:rPr>
          <w:rFonts w:ascii="Arial" w:hAnsi="Arial" w:cs="Arial"/>
          <w:bCs/>
          <w:sz w:val="20"/>
          <w:szCs w:val="20"/>
        </w:rPr>
        <w:t xml:space="preserve"> </w:t>
      </w:r>
      <w:r w:rsidR="00935090">
        <w:rPr>
          <w:rFonts w:ascii="Arial" w:hAnsi="Arial" w:cs="Arial"/>
          <w:bCs/>
          <w:sz w:val="20"/>
          <w:szCs w:val="20"/>
        </w:rPr>
        <w:t>=&gt; Kontakt.</w:t>
      </w:r>
      <w:r w:rsidR="007D0597">
        <w:rPr>
          <w:rFonts w:ascii="Arial" w:hAnsi="Arial" w:cs="Arial"/>
          <w:color w:val="000000"/>
          <w:sz w:val="20"/>
          <w:szCs w:val="20"/>
        </w:rPr>
        <w:t xml:space="preserve"> </w:t>
      </w:r>
    </w:p>
    <w:p w14:paraId="6CC1469A" w14:textId="77777777" w:rsidR="0009352C" w:rsidRDefault="0009352C" w:rsidP="00673563">
      <w:pPr>
        <w:tabs>
          <w:tab w:val="left" w:pos="720"/>
          <w:tab w:val="left" w:pos="7380"/>
        </w:tabs>
        <w:spacing w:after="0" w:line="360" w:lineRule="auto"/>
        <w:rPr>
          <w:rFonts w:ascii="Arial" w:hAnsi="Arial" w:cs="Arial"/>
          <w:color w:val="000000"/>
          <w:sz w:val="20"/>
          <w:szCs w:val="20"/>
        </w:rPr>
      </w:pP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6F08" w14:textId="77777777" w:rsidR="003A409E" w:rsidRDefault="003A409E" w:rsidP="00D72123">
      <w:pPr>
        <w:spacing w:after="0" w:line="240" w:lineRule="auto"/>
      </w:pPr>
      <w:r>
        <w:separator/>
      </w:r>
    </w:p>
  </w:endnote>
  <w:endnote w:type="continuationSeparator" w:id="0">
    <w:p w14:paraId="62C11137" w14:textId="77777777" w:rsidR="003A409E" w:rsidRDefault="003A409E" w:rsidP="00D72123">
      <w:pPr>
        <w:spacing w:after="0" w:line="240" w:lineRule="auto"/>
      </w:pPr>
      <w:r>
        <w:continuationSeparator/>
      </w:r>
    </w:p>
  </w:endnote>
  <w:endnote w:type="continuationNotice" w:id="1">
    <w:p w14:paraId="565752F8" w14:textId="77777777" w:rsidR="003A409E" w:rsidRDefault="003A4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D98A" w14:textId="77777777" w:rsidR="003A409E" w:rsidRDefault="003A409E" w:rsidP="00D72123">
      <w:pPr>
        <w:spacing w:after="0" w:line="240" w:lineRule="auto"/>
      </w:pPr>
      <w:r>
        <w:separator/>
      </w:r>
    </w:p>
  </w:footnote>
  <w:footnote w:type="continuationSeparator" w:id="0">
    <w:p w14:paraId="576D87EC" w14:textId="77777777" w:rsidR="003A409E" w:rsidRDefault="003A409E" w:rsidP="00D72123">
      <w:pPr>
        <w:spacing w:after="0" w:line="240" w:lineRule="auto"/>
      </w:pPr>
      <w:r>
        <w:continuationSeparator/>
      </w:r>
    </w:p>
  </w:footnote>
  <w:footnote w:type="continuationNotice" w:id="1">
    <w:p w14:paraId="5D839E32" w14:textId="77777777" w:rsidR="003A409E" w:rsidRDefault="003A40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00EC"/>
    <w:rsid w:val="00054D0A"/>
    <w:rsid w:val="00061BAD"/>
    <w:rsid w:val="00064B9D"/>
    <w:rsid w:val="0006533A"/>
    <w:rsid w:val="0009352C"/>
    <w:rsid w:val="000A4B26"/>
    <w:rsid w:val="000E1C4C"/>
    <w:rsid w:val="000F2434"/>
    <w:rsid w:val="001073FA"/>
    <w:rsid w:val="00124089"/>
    <w:rsid w:val="00150E4E"/>
    <w:rsid w:val="001644D0"/>
    <w:rsid w:val="001720AA"/>
    <w:rsid w:val="00181C2F"/>
    <w:rsid w:val="001D18D1"/>
    <w:rsid w:val="001E4007"/>
    <w:rsid w:val="00201861"/>
    <w:rsid w:val="002207B1"/>
    <w:rsid w:val="00221E5E"/>
    <w:rsid w:val="00233554"/>
    <w:rsid w:val="0025449E"/>
    <w:rsid w:val="00264F71"/>
    <w:rsid w:val="002977DD"/>
    <w:rsid w:val="002B4D4D"/>
    <w:rsid w:val="002D64D8"/>
    <w:rsid w:val="002D665E"/>
    <w:rsid w:val="00313807"/>
    <w:rsid w:val="003222D6"/>
    <w:rsid w:val="00330B36"/>
    <w:rsid w:val="00356470"/>
    <w:rsid w:val="0035674C"/>
    <w:rsid w:val="003A409E"/>
    <w:rsid w:val="003C722D"/>
    <w:rsid w:val="003E70CB"/>
    <w:rsid w:val="00406AAA"/>
    <w:rsid w:val="00431F6C"/>
    <w:rsid w:val="00461A1B"/>
    <w:rsid w:val="004869D2"/>
    <w:rsid w:val="004C371C"/>
    <w:rsid w:val="004E0AFA"/>
    <w:rsid w:val="00500879"/>
    <w:rsid w:val="005023C9"/>
    <w:rsid w:val="005657DF"/>
    <w:rsid w:val="0058780D"/>
    <w:rsid w:val="005B2628"/>
    <w:rsid w:val="005C2271"/>
    <w:rsid w:val="005C39AF"/>
    <w:rsid w:val="005C4A8F"/>
    <w:rsid w:val="005E2177"/>
    <w:rsid w:val="005F3A2A"/>
    <w:rsid w:val="00623A9C"/>
    <w:rsid w:val="00624234"/>
    <w:rsid w:val="00637FFE"/>
    <w:rsid w:val="00642196"/>
    <w:rsid w:val="006537E3"/>
    <w:rsid w:val="00673563"/>
    <w:rsid w:val="006A4796"/>
    <w:rsid w:val="00707004"/>
    <w:rsid w:val="00713E20"/>
    <w:rsid w:val="0071494C"/>
    <w:rsid w:val="00754CEE"/>
    <w:rsid w:val="007C4400"/>
    <w:rsid w:val="007D0597"/>
    <w:rsid w:val="007D1018"/>
    <w:rsid w:val="00832D9D"/>
    <w:rsid w:val="0085176A"/>
    <w:rsid w:val="00870E2A"/>
    <w:rsid w:val="008B2C5A"/>
    <w:rsid w:val="008C4EEA"/>
    <w:rsid w:val="008D7592"/>
    <w:rsid w:val="008E1EEC"/>
    <w:rsid w:val="008E29CA"/>
    <w:rsid w:val="008E3E1F"/>
    <w:rsid w:val="00910393"/>
    <w:rsid w:val="00914B2B"/>
    <w:rsid w:val="00935090"/>
    <w:rsid w:val="00965509"/>
    <w:rsid w:val="00972400"/>
    <w:rsid w:val="009C5960"/>
    <w:rsid w:val="009D404E"/>
    <w:rsid w:val="009E40DE"/>
    <w:rsid w:val="009F1131"/>
    <w:rsid w:val="00A74779"/>
    <w:rsid w:val="00A836B2"/>
    <w:rsid w:val="00A84790"/>
    <w:rsid w:val="00A917A6"/>
    <w:rsid w:val="00A96D76"/>
    <w:rsid w:val="00AB5977"/>
    <w:rsid w:val="00AC0CA7"/>
    <w:rsid w:val="00B14C97"/>
    <w:rsid w:val="00B45F80"/>
    <w:rsid w:val="00B62302"/>
    <w:rsid w:val="00B7224A"/>
    <w:rsid w:val="00B73198"/>
    <w:rsid w:val="00BB01D2"/>
    <w:rsid w:val="00BB1D8B"/>
    <w:rsid w:val="00BC2607"/>
    <w:rsid w:val="00C159DC"/>
    <w:rsid w:val="00C23770"/>
    <w:rsid w:val="00C45E98"/>
    <w:rsid w:val="00C56CF8"/>
    <w:rsid w:val="00C6773C"/>
    <w:rsid w:val="00C81B8A"/>
    <w:rsid w:val="00C941AB"/>
    <w:rsid w:val="00CB2873"/>
    <w:rsid w:val="00CC4F53"/>
    <w:rsid w:val="00CC7D54"/>
    <w:rsid w:val="00D32673"/>
    <w:rsid w:val="00D335DB"/>
    <w:rsid w:val="00D5228C"/>
    <w:rsid w:val="00D60257"/>
    <w:rsid w:val="00D72123"/>
    <w:rsid w:val="00D76496"/>
    <w:rsid w:val="00DA3D25"/>
    <w:rsid w:val="00E04450"/>
    <w:rsid w:val="00E45661"/>
    <w:rsid w:val="00E65A37"/>
    <w:rsid w:val="00E73281"/>
    <w:rsid w:val="00EA487A"/>
    <w:rsid w:val="00EC10CC"/>
    <w:rsid w:val="00EE100B"/>
    <w:rsid w:val="00EE4A11"/>
    <w:rsid w:val="00F07706"/>
    <w:rsid w:val="00F17684"/>
    <w:rsid w:val="00F64495"/>
    <w:rsid w:val="00F90D2F"/>
    <w:rsid w:val="00FB6643"/>
    <w:rsid w:val="00FB6FB4"/>
    <w:rsid w:val="00FE5F16"/>
    <w:rsid w:val="6D270D4B"/>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4C371C"/>
    <w:rPr>
      <w:color w:val="605E5C"/>
      <w:shd w:val="clear" w:color="auto" w:fill="E1DFDD"/>
    </w:rPr>
  </w:style>
  <w:style w:type="character" w:styleId="BesuchterLink">
    <w:name w:val="FollowedHyperlink"/>
    <w:basedOn w:val="Absatz-Standardschriftart"/>
    <w:uiPriority w:val="99"/>
    <w:semiHidden/>
    <w:unhideWhenUsed/>
    <w:rsid w:val="004C3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19910">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78708933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sol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2.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36</cp:revision>
  <cp:lastPrinted>2017-12-06T08:02:00Z</cp:lastPrinted>
  <dcterms:created xsi:type="dcterms:W3CDTF">2022-08-23T13:43:00Z</dcterms:created>
  <dcterms:modified xsi:type="dcterms:W3CDTF">2024-05-31T08:40:00Z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