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5548" w14:textId="0132B77C" w:rsidR="00673563" w:rsidRPr="007E07C0" w:rsidRDefault="00422FB4" w:rsidP="00673563">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007E07C0">
        <w:rPr>
          <w:rFonts w:eastAsia="Times New Roman" w:cs="Arial"/>
          <w:sz w:val="20"/>
          <w:szCs w:val="20"/>
          <w:u w:val="single"/>
          <w:lang w:eastAsia="de-DE"/>
        </w:rPr>
        <w:t>TÜV Rheinland</w:t>
      </w:r>
      <w:r w:rsidR="006D7AEC" w:rsidRPr="007E07C0">
        <w:rPr>
          <w:rFonts w:eastAsia="Times New Roman" w:cs="Arial"/>
          <w:sz w:val="20"/>
          <w:szCs w:val="20"/>
          <w:u w:val="single"/>
          <w:lang w:eastAsia="de-DE"/>
        </w:rPr>
        <w:t xml:space="preserve"> </w:t>
      </w:r>
      <w:r w:rsidR="00CD3503" w:rsidRPr="007E07C0">
        <w:rPr>
          <w:rFonts w:eastAsia="Times New Roman" w:cs="Arial"/>
          <w:sz w:val="20"/>
          <w:szCs w:val="20"/>
          <w:u w:val="single"/>
          <w:lang w:eastAsia="de-DE"/>
        </w:rPr>
        <w:t>Consulting</w:t>
      </w:r>
      <w:r w:rsidR="007E07C0" w:rsidRPr="007E07C0">
        <w:rPr>
          <w:rFonts w:eastAsia="Times New Roman" w:cs="Arial"/>
          <w:sz w:val="20"/>
          <w:szCs w:val="20"/>
          <w:u w:val="single"/>
          <w:lang w:eastAsia="de-DE"/>
        </w:rPr>
        <w:t xml:space="preserve"> </w:t>
      </w:r>
      <w:r w:rsidR="007E07C0">
        <w:rPr>
          <w:rFonts w:eastAsia="Times New Roman" w:cs="Arial"/>
          <w:sz w:val="20"/>
          <w:szCs w:val="20"/>
          <w:u w:val="single"/>
          <w:lang w:eastAsia="de-DE"/>
        </w:rPr>
        <w:t xml:space="preserve">erhält </w:t>
      </w:r>
      <w:r w:rsidR="006D7AEC" w:rsidRPr="007E07C0">
        <w:rPr>
          <w:rFonts w:eastAsia="Times New Roman" w:cs="Arial"/>
          <w:sz w:val="20"/>
          <w:szCs w:val="20"/>
          <w:u w:val="single"/>
          <w:lang w:eastAsia="de-DE"/>
        </w:rPr>
        <w:t>TOP CONSULTANT</w:t>
      </w:r>
      <w:r w:rsidR="00C719CD">
        <w:rPr>
          <w:rFonts w:eastAsia="Times New Roman" w:cs="Arial"/>
          <w:sz w:val="20"/>
          <w:szCs w:val="20"/>
          <w:u w:val="single"/>
          <w:lang w:eastAsia="de-DE"/>
        </w:rPr>
        <w:t>-</w:t>
      </w:r>
      <w:r w:rsidR="006D7AEC" w:rsidRPr="007E07C0">
        <w:rPr>
          <w:rFonts w:eastAsia="Times New Roman" w:cs="Arial"/>
          <w:sz w:val="20"/>
          <w:szCs w:val="20"/>
          <w:u w:val="single"/>
          <w:lang w:eastAsia="de-DE"/>
        </w:rPr>
        <w:t>Siege</w:t>
      </w:r>
      <w:r w:rsidR="007E07C0">
        <w:rPr>
          <w:rFonts w:eastAsia="Times New Roman" w:cs="Arial"/>
          <w:sz w:val="20"/>
          <w:szCs w:val="20"/>
          <w:u w:val="single"/>
          <w:lang w:eastAsia="de-DE"/>
        </w:rPr>
        <w:t>l</w:t>
      </w:r>
    </w:p>
    <w:p w14:paraId="3068A4EA" w14:textId="012E81C5" w:rsidR="00673563" w:rsidRPr="00317BD6" w:rsidRDefault="007E07C0" w:rsidP="77B34AD9">
      <w:pPr>
        <w:spacing w:after="0" w:line="360" w:lineRule="auto"/>
        <w:ind w:right="-2"/>
        <w:rPr>
          <w:rFonts w:ascii="Arial" w:hAnsi="Arial" w:cs="Arial"/>
          <w:sz w:val="20"/>
          <w:szCs w:val="20"/>
        </w:rPr>
      </w:pPr>
      <w:r w:rsidRPr="77B34AD9">
        <w:rPr>
          <w:rFonts w:ascii="Arial" w:hAnsi="Arial" w:cs="Arial"/>
          <w:sz w:val="20"/>
          <w:szCs w:val="20"/>
        </w:rPr>
        <w:t xml:space="preserve">Unternehmen </w:t>
      </w:r>
      <w:r w:rsidR="00733588" w:rsidRPr="77B34AD9">
        <w:rPr>
          <w:rFonts w:ascii="Arial" w:hAnsi="Arial" w:cs="Arial"/>
          <w:sz w:val="20"/>
          <w:szCs w:val="20"/>
        </w:rPr>
        <w:t xml:space="preserve">unter besten Mittelstandsberatern / </w:t>
      </w:r>
      <w:r w:rsidR="008E300B" w:rsidRPr="77B34AD9">
        <w:rPr>
          <w:rFonts w:ascii="Arial" w:hAnsi="Arial" w:cs="Arial"/>
          <w:sz w:val="20"/>
          <w:szCs w:val="20"/>
        </w:rPr>
        <w:t xml:space="preserve">Auszeichnung im Rahmen des Deutschen Mittelstands-Summit / </w:t>
      </w:r>
      <w:r w:rsidR="00E14871" w:rsidRPr="77B34AD9">
        <w:rPr>
          <w:rFonts w:ascii="Arial" w:hAnsi="Arial" w:cs="Arial"/>
          <w:sz w:val="20"/>
          <w:szCs w:val="20"/>
        </w:rPr>
        <w:t>Nachhaltigkeit</w:t>
      </w:r>
      <w:r w:rsidR="008E300B" w:rsidRPr="77B34AD9">
        <w:rPr>
          <w:rFonts w:ascii="Arial" w:hAnsi="Arial" w:cs="Arial"/>
          <w:sz w:val="20"/>
          <w:szCs w:val="20"/>
        </w:rPr>
        <w:t>sberatung</w:t>
      </w:r>
      <w:r w:rsidR="007C5222" w:rsidRPr="77B34AD9">
        <w:rPr>
          <w:rFonts w:ascii="Arial" w:hAnsi="Arial" w:cs="Arial"/>
          <w:sz w:val="20"/>
          <w:szCs w:val="20"/>
        </w:rPr>
        <w:t xml:space="preserve"> auch bei KMU</w:t>
      </w:r>
      <w:r w:rsidR="00B6498E" w:rsidRPr="77B34AD9">
        <w:rPr>
          <w:rFonts w:ascii="Arial" w:hAnsi="Arial" w:cs="Arial"/>
          <w:sz w:val="20"/>
          <w:szCs w:val="20"/>
        </w:rPr>
        <w:t xml:space="preserve"> </w:t>
      </w:r>
      <w:r w:rsidR="00ED7B81" w:rsidRPr="77B34AD9">
        <w:rPr>
          <w:rFonts w:ascii="Arial" w:hAnsi="Arial" w:cs="Arial"/>
          <w:sz w:val="20"/>
          <w:szCs w:val="20"/>
        </w:rPr>
        <w:t>gefragt</w:t>
      </w:r>
      <w:r w:rsidR="003C15AF" w:rsidRPr="77B34AD9">
        <w:rPr>
          <w:rFonts w:ascii="Arial" w:hAnsi="Arial" w:cs="Arial"/>
          <w:sz w:val="20"/>
          <w:szCs w:val="20"/>
        </w:rPr>
        <w:t xml:space="preserve"> / </w:t>
      </w:r>
      <w:hyperlink r:id="rId11" w:history="1">
        <w:r w:rsidR="007E472B" w:rsidRPr="00316E4D">
          <w:rPr>
            <w:rStyle w:val="Hyperlink"/>
            <w:rFonts w:ascii="Arial" w:hAnsi="Arial" w:cs="Arial"/>
            <w:sz w:val="20"/>
            <w:szCs w:val="20"/>
          </w:rPr>
          <w:t>www.tuv.com/consulting</w:t>
        </w:r>
      </w:hyperlink>
      <w:r w:rsidR="007E472B">
        <w:rPr>
          <w:rFonts w:ascii="Arial" w:hAnsi="Arial" w:cs="Arial"/>
          <w:sz w:val="20"/>
          <w:szCs w:val="20"/>
        </w:rPr>
        <w:t xml:space="preserve"> </w:t>
      </w:r>
    </w:p>
    <w:p w14:paraId="398B854B" w14:textId="77777777" w:rsidR="00673563" w:rsidRPr="00317BD6" w:rsidRDefault="00673563" w:rsidP="00673563">
      <w:pPr>
        <w:spacing w:after="0" w:line="360" w:lineRule="auto"/>
        <w:ind w:right="-2"/>
        <w:rPr>
          <w:rFonts w:ascii="Arial" w:hAnsi="Arial" w:cs="Arial"/>
          <w:bCs/>
          <w:sz w:val="20"/>
          <w:szCs w:val="20"/>
        </w:rPr>
      </w:pPr>
    </w:p>
    <w:p w14:paraId="4AA1C3F2" w14:textId="682A5E64" w:rsidR="0064526B" w:rsidRPr="0064526B" w:rsidRDefault="0009697A" w:rsidP="00DC52D1">
      <w:pPr>
        <w:numPr>
          <w:ilvl w:val="0"/>
          <w:numId w:val="3"/>
        </w:numPr>
        <w:tabs>
          <w:tab w:val="left" w:pos="720"/>
        </w:tabs>
        <w:spacing w:after="0" w:line="360" w:lineRule="auto"/>
        <w:rPr>
          <w:rFonts w:ascii="Arial" w:hAnsi="Arial" w:cs="Arial"/>
          <w:bCs/>
          <w:sz w:val="20"/>
          <w:szCs w:val="20"/>
        </w:rPr>
      </w:pPr>
      <w:r>
        <w:rPr>
          <w:rFonts w:ascii="Arial" w:hAnsi="Arial" w:cs="Arial"/>
          <w:b/>
          <w:sz w:val="20"/>
          <w:szCs w:val="20"/>
        </w:rPr>
        <w:t>Köln</w:t>
      </w:r>
      <w:r w:rsidR="00673563" w:rsidRPr="002E41D4">
        <w:rPr>
          <w:rFonts w:ascii="Arial" w:hAnsi="Arial" w:cs="Arial"/>
          <w:b/>
          <w:sz w:val="20"/>
          <w:szCs w:val="20"/>
        </w:rPr>
        <w:t xml:space="preserve">, </w:t>
      </w:r>
      <w:r>
        <w:rPr>
          <w:rFonts w:ascii="Arial" w:hAnsi="Arial" w:cs="Arial"/>
          <w:b/>
          <w:sz w:val="20"/>
          <w:szCs w:val="20"/>
        </w:rPr>
        <w:t>28</w:t>
      </w:r>
      <w:r w:rsidR="00673563" w:rsidRPr="002E41D4">
        <w:rPr>
          <w:rFonts w:ascii="Arial" w:hAnsi="Arial" w:cs="Arial"/>
          <w:b/>
          <w:sz w:val="20"/>
          <w:szCs w:val="20"/>
        </w:rPr>
        <w:t xml:space="preserve">. </w:t>
      </w:r>
      <w:r>
        <w:rPr>
          <w:rFonts w:ascii="Arial" w:hAnsi="Arial" w:cs="Arial"/>
          <w:b/>
          <w:sz w:val="20"/>
          <w:szCs w:val="20"/>
        </w:rPr>
        <w:t>Juni</w:t>
      </w:r>
      <w:r w:rsidR="00673563" w:rsidRPr="002E41D4">
        <w:rPr>
          <w:rFonts w:ascii="Arial" w:hAnsi="Arial" w:cs="Arial"/>
          <w:b/>
          <w:sz w:val="20"/>
          <w:szCs w:val="20"/>
        </w:rPr>
        <w:t xml:space="preserve"> </w:t>
      </w:r>
      <w:r>
        <w:rPr>
          <w:rFonts w:ascii="Arial" w:hAnsi="Arial" w:cs="Arial"/>
          <w:b/>
          <w:sz w:val="20"/>
          <w:szCs w:val="20"/>
        </w:rPr>
        <w:t>2024</w:t>
      </w:r>
      <w:r w:rsidR="00673563" w:rsidRPr="00317BD6">
        <w:rPr>
          <w:rFonts w:ascii="Arial" w:hAnsi="Arial" w:cs="Arial"/>
          <w:bCs/>
          <w:sz w:val="20"/>
          <w:szCs w:val="20"/>
        </w:rPr>
        <w:t>.</w:t>
      </w:r>
      <w:r w:rsidR="00DC52D1">
        <w:rPr>
          <w:rFonts w:ascii="Arial" w:hAnsi="Arial" w:cs="Arial"/>
          <w:bCs/>
          <w:sz w:val="20"/>
          <w:szCs w:val="20"/>
        </w:rPr>
        <w:t xml:space="preserve"> </w:t>
      </w:r>
      <w:r w:rsidR="0064526B" w:rsidRPr="0064526B">
        <w:rPr>
          <w:rFonts w:ascii="Arial" w:hAnsi="Arial" w:cs="Arial"/>
          <w:bCs/>
          <w:sz w:val="20"/>
          <w:szCs w:val="20"/>
        </w:rPr>
        <w:t>Dank seiner ausgeprägten Mittelstandsexpertise hat sich</w:t>
      </w:r>
      <w:r w:rsidR="00ED7B81">
        <w:rPr>
          <w:rFonts w:ascii="Arial" w:hAnsi="Arial" w:cs="Arial"/>
          <w:bCs/>
          <w:sz w:val="20"/>
          <w:szCs w:val="20"/>
        </w:rPr>
        <w:t xml:space="preserve"> TÜV Rheinland Consulting </w:t>
      </w:r>
      <w:r w:rsidR="0064526B" w:rsidRPr="0064526B">
        <w:rPr>
          <w:rFonts w:ascii="Arial" w:hAnsi="Arial" w:cs="Arial"/>
          <w:bCs/>
          <w:sz w:val="20"/>
          <w:szCs w:val="20"/>
        </w:rPr>
        <w:t>in einem wissenschaftlichen Auswahlverfahren durchgesetzt und trägt ab sofort das TOP CONSULTANT-Siegel.</w:t>
      </w:r>
      <w:r w:rsidR="00ED7B81">
        <w:rPr>
          <w:rFonts w:ascii="Arial" w:hAnsi="Arial" w:cs="Arial"/>
          <w:bCs/>
          <w:sz w:val="20"/>
          <w:szCs w:val="20"/>
        </w:rPr>
        <w:t xml:space="preserve"> </w:t>
      </w:r>
      <w:r w:rsidR="0064526B" w:rsidRPr="0064526B">
        <w:rPr>
          <w:rFonts w:ascii="Arial" w:hAnsi="Arial" w:cs="Arial"/>
          <w:bCs/>
          <w:sz w:val="20"/>
          <w:szCs w:val="20"/>
        </w:rPr>
        <w:t>Bundespräsident a. D. Christian Wulff gratulierte</w:t>
      </w:r>
      <w:r w:rsidR="003E7643" w:rsidRPr="00DC52D1">
        <w:rPr>
          <w:rFonts w:ascii="Arial" w:hAnsi="Arial" w:cs="Arial"/>
          <w:bCs/>
          <w:sz w:val="20"/>
          <w:szCs w:val="20"/>
        </w:rPr>
        <w:t xml:space="preserve"> TÜV Rheinland Consulting </w:t>
      </w:r>
      <w:r w:rsidR="0064526B" w:rsidRPr="0064526B">
        <w:rPr>
          <w:rFonts w:ascii="Arial" w:hAnsi="Arial" w:cs="Arial"/>
          <w:bCs/>
          <w:sz w:val="20"/>
          <w:szCs w:val="20"/>
        </w:rPr>
        <w:t xml:space="preserve">zu der Auszeichnung im Rahmen </w:t>
      </w:r>
      <w:r w:rsidR="00CE46ED">
        <w:rPr>
          <w:rFonts w:ascii="Arial" w:hAnsi="Arial" w:cs="Arial"/>
          <w:bCs/>
          <w:sz w:val="20"/>
          <w:szCs w:val="20"/>
        </w:rPr>
        <w:t xml:space="preserve">einer Preisverleihung während </w:t>
      </w:r>
      <w:r w:rsidR="0064526B" w:rsidRPr="0064526B">
        <w:rPr>
          <w:rFonts w:ascii="Arial" w:hAnsi="Arial" w:cs="Arial"/>
          <w:bCs/>
          <w:sz w:val="20"/>
          <w:szCs w:val="20"/>
        </w:rPr>
        <w:t>des Deutschen Mittelstands-Summit</w:t>
      </w:r>
      <w:r w:rsidR="008C41B6">
        <w:rPr>
          <w:rFonts w:ascii="Arial" w:hAnsi="Arial" w:cs="Arial"/>
          <w:bCs/>
          <w:sz w:val="20"/>
          <w:szCs w:val="20"/>
        </w:rPr>
        <w:t xml:space="preserve"> </w:t>
      </w:r>
      <w:r w:rsidR="00C719CD">
        <w:rPr>
          <w:rFonts w:ascii="Arial" w:hAnsi="Arial" w:cs="Arial"/>
          <w:bCs/>
          <w:sz w:val="20"/>
          <w:szCs w:val="20"/>
        </w:rPr>
        <w:t xml:space="preserve">am </w:t>
      </w:r>
      <w:r w:rsidR="0064526B" w:rsidRPr="0064526B">
        <w:rPr>
          <w:rFonts w:ascii="Arial" w:hAnsi="Arial" w:cs="Arial"/>
          <w:bCs/>
          <w:sz w:val="20"/>
          <w:szCs w:val="20"/>
        </w:rPr>
        <w:t>28. Juni</w:t>
      </w:r>
      <w:r w:rsidR="008C41B6">
        <w:rPr>
          <w:rFonts w:ascii="Arial" w:hAnsi="Arial" w:cs="Arial"/>
          <w:bCs/>
          <w:sz w:val="20"/>
          <w:szCs w:val="20"/>
        </w:rPr>
        <w:t xml:space="preserve"> </w:t>
      </w:r>
      <w:r w:rsidR="0064526B" w:rsidRPr="0064526B">
        <w:rPr>
          <w:rFonts w:ascii="Arial" w:hAnsi="Arial" w:cs="Arial"/>
          <w:bCs/>
          <w:sz w:val="20"/>
          <w:szCs w:val="20"/>
        </w:rPr>
        <w:t>in Weimar.</w:t>
      </w:r>
      <w:r w:rsidR="008C41B6">
        <w:rPr>
          <w:rFonts w:ascii="Arial" w:hAnsi="Arial" w:cs="Arial"/>
          <w:bCs/>
          <w:sz w:val="20"/>
          <w:szCs w:val="20"/>
        </w:rPr>
        <w:t xml:space="preserve"> </w:t>
      </w:r>
      <w:r w:rsidR="0064526B" w:rsidRPr="0064526B">
        <w:rPr>
          <w:rFonts w:ascii="Arial" w:hAnsi="Arial" w:cs="Arial"/>
          <w:bCs/>
          <w:sz w:val="20"/>
          <w:szCs w:val="20"/>
        </w:rPr>
        <w:t>Die Auswahl der neuen Top-Consultants hatte die Wissenschaftliche Gesellschaft für Management und Beratung (WGMB) im Auftrag von compamedia vorgenommen.</w:t>
      </w:r>
    </w:p>
    <w:p w14:paraId="7C20DA4B" w14:textId="77777777" w:rsidR="0025433C" w:rsidRDefault="0025433C" w:rsidP="0064526B">
      <w:pPr>
        <w:numPr>
          <w:ilvl w:val="0"/>
          <w:numId w:val="3"/>
        </w:numPr>
        <w:tabs>
          <w:tab w:val="left" w:pos="720"/>
          <w:tab w:val="left" w:pos="7380"/>
        </w:tabs>
        <w:spacing w:after="0" w:line="360" w:lineRule="auto"/>
        <w:rPr>
          <w:rFonts w:ascii="Arial" w:hAnsi="Arial" w:cs="Arial"/>
          <w:bCs/>
          <w:sz w:val="20"/>
          <w:szCs w:val="20"/>
        </w:rPr>
      </w:pPr>
    </w:p>
    <w:p w14:paraId="06190033" w14:textId="77777777" w:rsidR="00BE5190" w:rsidRDefault="003E413D" w:rsidP="00BE5190">
      <w:pPr>
        <w:numPr>
          <w:ilvl w:val="0"/>
          <w:numId w:val="3"/>
        </w:numPr>
        <w:tabs>
          <w:tab w:val="left" w:pos="720"/>
          <w:tab w:val="left" w:pos="7380"/>
        </w:tabs>
        <w:spacing w:after="0" w:line="360" w:lineRule="auto"/>
        <w:rPr>
          <w:rFonts w:ascii="Arial" w:hAnsi="Arial" w:cs="Arial"/>
          <w:b/>
          <w:sz w:val="20"/>
          <w:szCs w:val="20"/>
        </w:rPr>
      </w:pPr>
      <w:r w:rsidRPr="003E413D">
        <w:rPr>
          <w:rFonts w:ascii="Arial" w:hAnsi="Arial" w:cs="Arial"/>
          <w:b/>
          <w:sz w:val="20"/>
          <w:szCs w:val="20"/>
        </w:rPr>
        <w:t>Wissenschaftliche Kundenbefragung als Basis der Bewertung</w:t>
      </w:r>
      <w:bookmarkStart w:id="0" w:name="_Hlk26956848"/>
    </w:p>
    <w:p w14:paraId="11EF466B" w14:textId="4C5A616C" w:rsidR="00195ACC" w:rsidRDefault="00BF38FA" w:rsidP="77B34AD9">
      <w:pPr>
        <w:tabs>
          <w:tab w:val="left" w:pos="720"/>
          <w:tab w:val="left" w:pos="7380"/>
        </w:tabs>
        <w:spacing w:after="0" w:line="360" w:lineRule="auto"/>
        <w:rPr>
          <w:rFonts w:ascii="Arial" w:hAnsi="Arial" w:cs="Arial"/>
          <w:sz w:val="20"/>
          <w:szCs w:val="20"/>
        </w:rPr>
      </w:pPr>
      <w:r w:rsidRPr="77B34AD9">
        <w:rPr>
          <w:rFonts w:ascii="Arial" w:hAnsi="Arial" w:cs="Arial"/>
          <w:sz w:val="20"/>
          <w:szCs w:val="20"/>
        </w:rPr>
        <w:t>Um die Beraterleistung zu bewerten, befragt</w:t>
      </w:r>
      <w:r w:rsidR="482FE725" w:rsidRPr="77B34AD9">
        <w:rPr>
          <w:rFonts w:ascii="Arial" w:hAnsi="Arial" w:cs="Arial"/>
          <w:sz w:val="20"/>
          <w:szCs w:val="20"/>
        </w:rPr>
        <w:t>e</w:t>
      </w:r>
      <w:r w:rsidR="00BE5190" w:rsidRPr="77B34AD9">
        <w:rPr>
          <w:rFonts w:ascii="Arial" w:hAnsi="Arial" w:cs="Arial"/>
          <w:sz w:val="20"/>
          <w:szCs w:val="20"/>
        </w:rPr>
        <w:t xml:space="preserve"> </w:t>
      </w:r>
      <w:r w:rsidRPr="77B34AD9">
        <w:rPr>
          <w:rFonts w:ascii="Arial" w:hAnsi="Arial" w:cs="Arial"/>
          <w:sz w:val="20"/>
          <w:szCs w:val="20"/>
        </w:rPr>
        <w:t>das wissenschaftliche Team um Prof. Dr. Dietmar Fink, Professor für Unternehmensberatung an der Hochschule Bonn-Rhein-Sieg,</w:t>
      </w:r>
      <w:r w:rsidR="00BE5190" w:rsidRPr="77B34AD9">
        <w:rPr>
          <w:rFonts w:ascii="Arial" w:hAnsi="Arial" w:cs="Arial"/>
          <w:b/>
          <w:bCs/>
          <w:sz w:val="20"/>
          <w:szCs w:val="20"/>
        </w:rPr>
        <w:t xml:space="preserve"> </w:t>
      </w:r>
      <w:r w:rsidRPr="77B34AD9">
        <w:rPr>
          <w:rFonts w:ascii="Arial" w:hAnsi="Arial" w:cs="Arial"/>
          <w:sz w:val="20"/>
          <w:szCs w:val="20"/>
        </w:rPr>
        <w:t xml:space="preserve">und Bianka Knoblach je nach Unternehmensgröße </w:t>
      </w:r>
      <w:r w:rsidR="00195ACC" w:rsidRPr="77B34AD9">
        <w:rPr>
          <w:rFonts w:ascii="Arial" w:hAnsi="Arial" w:cs="Arial"/>
          <w:sz w:val="20"/>
          <w:szCs w:val="20"/>
        </w:rPr>
        <w:t xml:space="preserve">zehn </w:t>
      </w:r>
      <w:r w:rsidRPr="77B34AD9">
        <w:rPr>
          <w:rFonts w:ascii="Arial" w:hAnsi="Arial" w:cs="Arial"/>
          <w:sz w:val="20"/>
          <w:szCs w:val="20"/>
        </w:rPr>
        <w:t>bis 20 Referenzkunden der teilnehmenden Beratungsunternehmen. Die Befragung der Kunden konzentriert</w:t>
      </w:r>
      <w:r w:rsidR="49A71D24" w:rsidRPr="77B34AD9">
        <w:rPr>
          <w:rFonts w:ascii="Arial" w:hAnsi="Arial" w:cs="Arial"/>
          <w:sz w:val="20"/>
          <w:szCs w:val="20"/>
        </w:rPr>
        <w:t>e</w:t>
      </w:r>
      <w:r w:rsidRPr="77B34AD9">
        <w:rPr>
          <w:rFonts w:ascii="Arial" w:hAnsi="Arial" w:cs="Arial"/>
          <w:sz w:val="20"/>
          <w:szCs w:val="20"/>
        </w:rPr>
        <w:t xml:space="preserve"> sich auf zwei übergeordnete Kriterien: den Grad der Professionalität, den die Kunden den Beratungshäusern attestieren sowie die Zufriedenheit der Kunden mit der Beratungsleistung. Zusätzlich zu der Kundenbefragung wertet die wissenschaftliche Leitung Kennzahlen der Unternehmen aus, etwa die Umsatzentwicklung, die Mitarbeiterentwicklung, den beruflichen Hintergrund der Berater und ihre Erfahrung.</w:t>
      </w:r>
      <w:r w:rsidR="00BE5190" w:rsidRPr="77B34AD9">
        <w:rPr>
          <w:rFonts w:ascii="Arial" w:hAnsi="Arial" w:cs="Arial"/>
          <w:sz w:val="20"/>
          <w:szCs w:val="20"/>
        </w:rPr>
        <w:t xml:space="preserve"> </w:t>
      </w:r>
      <w:r w:rsidR="0064526B" w:rsidRPr="77B34AD9">
        <w:rPr>
          <w:rFonts w:ascii="Arial" w:hAnsi="Arial" w:cs="Arial"/>
          <w:sz w:val="20"/>
          <w:szCs w:val="20"/>
        </w:rPr>
        <w:t>Insgesamt hatten sich dieses Jahr 132 Beratungsunternehmen um das TOP CONSULTANT-Siegel beworben, 108</w:t>
      </w:r>
      <w:r w:rsidR="00A60F23" w:rsidRPr="77B34AD9">
        <w:rPr>
          <w:rFonts w:ascii="Arial" w:hAnsi="Arial" w:cs="Arial"/>
          <w:sz w:val="20"/>
          <w:szCs w:val="20"/>
        </w:rPr>
        <w:t xml:space="preserve"> </w:t>
      </w:r>
      <w:r w:rsidR="0064526B" w:rsidRPr="77B34AD9">
        <w:rPr>
          <w:rFonts w:ascii="Arial" w:hAnsi="Arial" w:cs="Arial"/>
          <w:sz w:val="20"/>
          <w:szCs w:val="20"/>
        </w:rPr>
        <w:t xml:space="preserve">waren erfolgreich und dürfen </w:t>
      </w:r>
      <w:r w:rsidR="00A60F23" w:rsidRPr="77B34AD9">
        <w:rPr>
          <w:rFonts w:ascii="Arial" w:hAnsi="Arial" w:cs="Arial"/>
          <w:sz w:val="20"/>
          <w:szCs w:val="20"/>
        </w:rPr>
        <w:t xml:space="preserve">ab sofort </w:t>
      </w:r>
      <w:r w:rsidR="0064526B" w:rsidRPr="77B34AD9">
        <w:rPr>
          <w:rFonts w:ascii="Arial" w:hAnsi="Arial" w:cs="Arial"/>
          <w:sz w:val="20"/>
          <w:szCs w:val="20"/>
        </w:rPr>
        <w:t>das Siegel tragen.</w:t>
      </w:r>
      <w:r w:rsidR="00195ACC" w:rsidRPr="77B34AD9">
        <w:rPr>
          <w:rFonts w:ascii="Arial" w:hAnsi="Arial" w:cs="Arial"/>
          <w:sz w:val="20"/>
          <w:szCs w:val="20"/>
        </w:rPr>
        <w:t xml:space="preserve"> „Es freut uns, dass wir unsere Kunden und Kundinnen überzeugen</w:t>
      </w:r>
      <w:r w:rsidR="00E8397D" w:rsidRPr="77B34AD9">
        <w:rPr>
          <w:rFonts w:ascii="Arial" w:hAnsi="Arial" w:cs="Arial"/>
          <w:sz w:val="20"/>
          <w:szCs w:val="20"/>
        </w:rPr>
        <w:t xml:space="preserve">, und bei ihren Projekten, insbesondere im Bereich Nachhaltigkeit, erfolgreich unterstützen konnten“, </w:t>
      </w:r>
      <w:r w:rsidR="0041547B" w:rsidRPr="77B34AD9">
        <w:rPr>
          <w:rFonts w:ascii="Arial" w:hAnsi="Arial" w:cs="Arial"/>
          <w:sz w:val="20"/>
          <w:szCs w:val="20"/>
        </w:rPr>
        <w:t>so Mariusz Bodek, Geschäftsführer TÜV Rheinland Consulting</w:t>
      </w:r>
      <w:r w:rsidR="0000654E" w:rsidRPr="77B34AD9">
        <w:rPr>
          <w:rFonts w:ascii="Arial" w:hAnsi="Arial" w:cs="Arial"/>
          <w:sz w:val="20"/>
          <w:szCs w:val="20"/>
        </w:rPr>
        <w:t xml:space="preserve">. </w:t>
      </w:r>
    </w:p>
    <w:p w14:paraId="790B5580" w14:textId="77777777" w:rsidR="0000654E" w:rsidRDefault="0000654E" w:rsidP="00BE5190">
      <w:pPr>
        <w:tabs>
          <w:tab w:val="left" w:pos="720"/>
          <w:tab w:val="left" w:pos="7380"/>
        </w:tabs>
        <w:spacing w:after="0" w:line="360" w:lineRule="auto"/>
        <w:rPr>
          <w:rFonts w:ascii="Arial" w:hAnsi="Arial" w:cs="Arial"/>
          <w:bCs/>
          <w:sz w:val="20"/>
          <w:szCs w:val="20"/>
        </w:rPr>
      </w:pPr>
    </w:p>
    <w:p w14:paraId="20013119" w14:textId="3807DEB9" w:rsidR="0000654E" w:rsidRPr="0064526B" w:rsidRDefault="007C24CE" w:rsidP="00BE5190">
      <w:pPr>
        <w:tabs>
          <w:tab w:val="left" w:pos="720"/>
          <w:tab w:val="left" w:pos="7380"/>
        </w:tabs>
        <w:spacing w:after="0" w:line="360" w:lineRule="auto"/>
        <w:rPr>
          <w:rFonts w:ascii="Arial" w:hAnsi="Arial" w:cs="Arial"/>
          <w:b/>
          <w:sz w:val="20"/>
          <w:szCs w:val="20"/>
        </w:rPr>
      </w:pPr>
      <w:r w:rsidRPr="009177D7">
        <w:rPr>
          <w:rFonts w:ascii="Arial" w:hAnsi="Arial" w:cs="Arial"/>
          <w:b/>
          <w:sz w:val="20"/>
          <w:szCs w:val="20"/>
        </w:rPr>
        <w:t xml:space="preserve">Bedarf an Nachhaltigkeitsberatung </w:t>
      </w:r>
      <w:r w:rsidR="009177D7" w:rsidRPr="009177D7">
        <w:rPr>
          <w:rFonts w:ascii="Arial" w:hAnsi="Arial" w:cs="Arial"/>
          <w:b/>
          <w:sz w:val="20"/>
          <w:szCs w:val="20"/>
        </w:rPr>
        <w:t>beim Mittelstand</w:t>
      </w:r>
    </w:p>
    <w:bookmarkEnd w:id="0"/>
    <w:p w14:paraId="7B51F8C6" w14:textId="27F0F2E7" w:rsidR="0064526B" w:rsidRDefault="003D259E" w:rsidP="77B34AD9">
      <w:pPr>
        <w:numPr>
          <w:ilvl w:val="0"/>
          <w:numId w:val="3"/>
        </w:numPr>
        <w:tabs>
          <w:tab w:val="left" w:pos="720"/>
          <w:tab w:val="left" w:pos="7380"/>
        </w:tabs>
        <w:spacing w:after="0" w:line="360" w:lineRule="auto"/>
        <w:rPr>
          <w:rFonts w:ascii="Arial" w:hAnsi="Arial" w:cs="Arial"/>
          <w:sz w:val="20"/>
          <w:szCs w:val="20"/>
        </w:rPr>
      </w:pPr>
      <w:r w:rsidRPr="7F4EEF2A">
        <w:rPr>
          <w:rFonts w:ascii="Arial" w:hAnsi="Arial" w:cs="Arial"/>
          <w:sz w:val="20"/>
          <w:szCs w:val="20"/>
        </w:rPr>
        <w:t xml:space="preserve">Egal ob </w:t>
      </w:r>
      <w:r w:rsidR="00701251" w:rsidRPr="7F4EEF2A">
        <w:rPr>
          <w:rFonts w:ascii="Arial" w:hAnsi="Arial" w:cs="Arial"/>
          <w:sz w:val="20"/>
          <w:szCs w:val="20"/>
        </w:rPr>
        <w:t>„Corporate Sustainability</w:t>
      </w:r>
      <w:r w:rsidR="3D984E95" w:rsidRPr="7F4EEF2A">
        <w:rPr>
          <w:rFonts w:ascii="Arial" w:hAnsi="Arial" w:cs="Arial"/>
          <w:sz w:val="20"/>
          <w:szCs w:val="20"/>
        </w:rPr>
        <w:t xml:space="preserve"> Reporting</w:t>
      </w:r>
      <w:r w:rsidR="00701251" w:rsidRPr="7F4EEF2A">
        <w:rPr>
          <w:rFonts w:ascii="Arial" w:hAnsi="Arial" w:cs="Arial"/>
          <w:sz w:val="20"/>
          <w:szCs w:val="20"/>
        </w:rPr>
        <w:t xml:space="preserve"> Directive“ (</w:t>
      </w:r>
      <w:r w:rsidR="4A0D4756" w:rsidRPr="7F4EEF2A">
        <w:rPr>
          <w:rFonts w:eastAsiaTheme="minorEastAsia"/>
          <w:sz w:val="20"/>
          <w:szCs w:val="20"/>
        </w:rPr>
        <w:t>CSRD</w:t>
      </w:r>
      <w:r w:rsidR="00701251" w:rsidRPr="7F4EEF2A">
        <w:rPr>
          <w:rFonts w:ascii="Arial" w:hAnsi="Arial" w:cs="Arial"/>
          <w:sz w:val="20"/>
          <w:szCs w:val="20"/>
        </w:rPr>
        <w:t>)</w:t>
      </w:r>
      <w:r w:rsidRPr="7F4EEF2A">
        <w:rPr>
          <w:rFonts w:ascii="Arial" w:hAnsi="Arial" w:cs="Arial"/>
          <w:sz w:val="20"/>
          <w:szCs w:val="20"/>
        </w:rPr>
        <w:t xml:space="preserve"> oder „Green Claims-Richtlinie“ – die Anforderungen an Unternehmen </w:t>
      </w:r>
      <w:r w:rsidR="00A41106" w:rsidRPr="7F4EEF2A">
        <w:rPr>
          <w:rFonts w:ascii="Arial" w:hAnsi="Arial" w:cs="Arial"/>
          <w:sz w:val="20"/>
          <w:szCs w:val="20"/>
        </w:rPr>
        <w:t>sind vielfältig. Der Bedarf an Beratung ist groß</w:t>
      </w:r>
      <w:r w:rsidR="00B6498E" w:rsidRPr="7F4EEF2A">
        <w:rPr>
          <w:rFonts w:ascii="Arial" w:hAnsi="Arial" w:cs="Arial"/>
          <w:sz w:val="20"/>
          <w:szCs w:val="20"/>
        </w:rPr>
        <w:t>, auch bei kleineren und mittleren Unternehmen (KMU)</w:t>
      </w:r>
      <w:r w:rsidR="00644A21" w:rsidRPr="7F4EEF2A">
        <w:rPr>
          <w:rFonts w:ascii="Arial" w:hAnsi="Arial" w:cs="Arial"/>
          <w:sz w:val="20"/>
          <w:szCs w:val="20"/>
        </w:rPr>
        <w:t>.</w:t>
      </w:r>
      <w:r w:rsidR="00E5235D" w:rsidRPr="7F4EEF2A">
        <w:rPr>
          <w:rFonts w:ascii="Arial" w:hAnsi="Arial" w:cs="Arial"/>
          <w:sz w:val="20"/>
          <w:szCs w:val="20"/>
        </w:rPr>
        <w:t xml:space="preserve"> TÜV</w:t>
      </w:r>
      <w:r w:rsidR="00986325" w:rsidRPr="7F4EEF2A">
        <w:rPr>
          <w:rFonts w:ascii="Arial" w:hAnsi="Arial" w:cs="Arial"/>
          <w:sz w:val="20"/>
          <w:szCs w:val="20"/>
        </w:rPr>
        <w:t xml:space="preserve"> </w:t>
      </w:r>
      <w:r w:rsidR="00E5235D" w:rsidRPr="7F4EEF2A">
        <w:rPr>
          <w:rFonts w:ascii="Arial" w:hAnsi="Arial" w:cs="Arial"/>
          <w:sz w:val="20"/>
          <w:szCs w:val="20"/>
        </w:rPr>
        <w:t>Rheinland Consulting</w:t>
      </w:r>
      <w:r w:rsidR="00FF5BB7" w:rsidRPr="7F4EEF2A">
        <w:rPr>
          <w:rFonts w:ascii="Arial" w:hAnsi="Arial" w:cs="Arial"/>
          <w:sz w:val="20"/>
          <w:szCs w:val="20"/>
        </w:rPr>
        <w:t xml:space="preserve"> unterhält daher ein eigenes Team für</w:t>
      </w:r>
      <w:r w:rsidR="00986325" w:rsidRPr="7F4EEF2A">
        <w:rPr>
          <w:rFonts w:ascii="Arial" w:hAnsi="Arial" w:cs="Arial"/>
          <w:sz w:val="20"/>
          <w:szCs w:val="20"/>
        </w:rPr>
        <w:t xml:space="preserve"> </w:t>
      </w:r>
      <w:r w:rsidR="00FF5BB7" w:rsidRPr="7F4EEF2A">
        <w:rPr>
          <w:rFonts w:ascii="Arial" w:hAnsi="Arial" w:cs="Arial"/>
          <w:sz w:val="20"/>
          <w:szCs w:val="20"/>
        </w:rPr>
        <w:t xml:space="preserve">Nachhaltigkeitsberatung. </w:t>
      </w:r>
      <w:r w:rsidR="00E5235D" w:rsidRPr="7F4EEF2A">
        <w:rPr>
          <w:rFonts w:ascii="Arial" w:hAnsi="Arial" w:cs="Arial"/>
          <w:sz w:val="20"/>
          <w:szCs w:val="20"/>
        </w:rPr>
        <w:t>Die Berater</w:t>
      </w:r>
      <w:r w:rsidR="6BB093C5" w:rsidRPr="7F4EEF2A">
        <w:rPr>
          <w:rFonts w:ascii="Arial" w:hAnsi="Arial" w:cs="Arial"/>
          <w:sz w:val="20"/>
          <w:szCs w:val="20"/>
        </w:rPr>
        <w:t>*</w:t>
      </w:r>
      <w:r w:rsidR="00E5235D" w:rsidRPr="7F4EEF2A">
        <w:rPr>
          <w:rFonts w:ascii="Arial" w:hAnsi="Arial" w:cs="Arial"/>
          <w:sz w:val="20"/>
          <w:szCs w:val="20"/>
        </w:rPr>
        <w:t xml:space="preserve">innen bringen ein breites Spektrum an </w:t>
      </w:r>
      <w:r w:rsidR="00E5235D" w:rsidRPr="7F4EEF2A">
        <w:rPr>
          <w:rFonts w:ascii="Arial" w:hAnsi="Arial" w:cs="Arial"/>
          <w:sz w:val="20"/>
          <w:szCs w:val="20"/>
        </w:rPr>
        <w:lastRenderedPageBreak/>
        <w:t>Kompetenzen mit, darunter Nachhaltigkeitsstrategie und -management, Lieferketten-Management, Risikoanalyse, Dekarbonisierung, Nachhaltigkeitskommunikation und Reporting. Auch in der Beratung zu Sozialaudits und Nachhaltigkeitsratings verfügt das Team über fundiertes Wissen.</w:t>
      </w:r>
      <w:r w:rsidR="00106DB6" w:rsidRPr="7F4EEF2A">
        <w:rPr>
          <w:rFonts w:ascii="Arial" w:hAnsi="Arial" w:cs="Arial"/>
          <w:sz w:val="20"/>
          <w:szCs w:val="20"/>
        </w:rPr>
        <w:t xml:space="preserve"> „</w:t>
      </w:r>
      <w:r w:rsidR="00A57622" w:rsidRPr="7F4EEF2A">
        <w:rPr>
          <w:rFonts w:ascii="Arial" w:hAnsi="Arial" w:cs="Arial"/>
          <w:sz w:val="20"/>
          <w:szCs w:val="20"/>
        </w:rPr>
        <w:t xml:space="preserve">Kleine und mittlere Unternehmen ringen oft mit dem Spagat zwischen begrenzten Ressourcen und dem ambitionierten Ziel, Nachhaltigkeitsrichtlinien nicht nur zu erfüllen, sondern sie als Motor für Innovation und Wettbewerbsfähigkeit zu nutzen. </w:t>
      </w:r>
      <w:r w:rsidR="00D16F8B" w:rsidRPr="7F4EEF2A">
        <w:rPr>
          <w:rFonts w:ascii="Arial" w:hAnsi="Arial" w:cs="Arial"/>
          <w:sz w:val="20"/>
          <w:szCs w:val="20"/>
        </w:rPr>
        <w:t xml:space="preserve">Hier setzen wir an und unterstützen mit unserer Expertise“, erklärt </w:t>
      </w:r>
      <w:r w:rsidR="003938BD" w:rsidRPr="7F4EEF2A">
        <w:rPr>
          <w:rFonts w:ascii="Arial" w:hAnsi="Arial" w:cs="Arial"/>
          <w:sz w:val="20"/>
          <w:szCs w:val="20"/>
        </w:rPr>
        <w:t xml:space="preserve">Lena Engel, </w:t>
      </w:r>
      <w:r w:rsidR="00434493" w:rsidRPr="7F4EEF2A">
        <w:rPr>
          <w:rFonts w:ascii="Arial" w:hAnsi="Arial" w:cs="Arial"/>
          <w:sz w:val="20"/>
          <w:szCs w:val="20"/>
        </w:rPr>
        <w:t xml:space="preserve">Teamleitung Nachhaltigkeitsberatung TÜV Rheinland Consulting. </w:t>
      </w:r>
    </w:p>
    <w:p w14:paraId="1586A3F9" w14:textId="77777777" w:rsidR="00434493" w:rsidRDefault="00434493" w:rsidP="00434493">
      <w:pPr>
        <w:tabs>
          <w:tab w:val="left" w:pos="720"/>
          <w:tab w:val="left" w:pos="7380"/>
        </w:tabs>
        <w:spacing w:after="0" w:line="360" w:lineRule="auto"/>
        <w:rPr>
          <w:rFonts w:ascii="Arial" w:hAnsi="Arial" w:cs="Arial"/>
          <w:bCs/>
          <w:sz w:val="20"/>
          <w:szCs w:val="20"/>
        </w:rPr>
      </w:pPr>
    </w:p>
    <w:p w14:paraId="5236DBDE" w14:textId="4062E2FC" w:rsidR="00434493" w:rsidRDefault="008E444B" w:rsidP="00434493">
      <w:pPr>
        <w:tabs>
          <w:tab w:val="left" w:pos="720"/>
          <w:tab w:val="left" w:pos="7380"/>
        </w:tabs>
        <w:spacing w:after="0" w:line="360" w:lineRule="auto"/>
      </w:pPr>
      <w:r w:rsidRPr="007E472B">
        <w:rPr>
          <w:rFonts w:ascii="Arial" w:hAnsi="Arial" w:cs="Arial"/>
          <w:bCs/>
          <w:sz w:val="20"/>
          <w:szCs w:val="20"/>
        </w:rPr>
        <w:t xml:space="preserve">Weitere Informationen zu TOP CONSULTANT: </w:t>
      </w:r>
      <w:hyperlink r:id="rId12" w:history="1">
        <w:r w:rsidRPr="007E472B">
          <w:rPr>
            <w:rStyle w:val="Hyperlink"/>
          </w:rPr>
          <w:t>TOP CONSULTANT Beraterwettbewerb (top-consultant.de)</w:t>
        </w:r>
      </w:hyperlink>
    </w:p>
    <w:p w14:paraId="36F483D3" w14:textId="77777777" w:rsidR="005F7154" w:rsidRDefault="005F7154" w:rsidP="00434493">
      <w:pPr>
        <w:tabs>
          <w:tab w:val="left" w:pos="720"/>
          <w:tab w:val="left" w:pos="7380"/>
        </w:tabs>
        <w:spacing w:after="0" w:line="360" w:lineRule="auto"/>
      </w:pPr>
    </w:p>
    <w:p w14:paraId="795C4260" w14:textId="74D8B43C" w:rsidR="005F7154" w:rsidRPr="007E472B" w:rsidRDefault="005F7154" w:rsidP="00434493">
      <w:pPr>
        <w:tabs>
          <w:tab w:val="left" w:pos="720"/>
          <w:tab w:val="left" w:pos="7380"/>
        </w:tabs>
        <w:spacing w:after="0" w:line="360" w:lineRule="auto"/>
        <w:rPr>
          <w:rFonts w:ascii="Arial" w:hAnsi="Arial" w:cs="Arial"/>
          <w:b/>
          <w:bCs/>
          <w:sz w:val="18"/>
          <w:szCs w:val="18"/>
        </w:rPr>
      </w:pPr>
      <w:r w:rsidRPr="007E472B">
        <w:rPr>
          <w:rFonts w:ascii="Arial" w:hAnsi="Arial" w:cs="Arial"/>
          <w:b/>
          <w:bCs/>
          <w:sz w:val="18"/>
          <w:szCs w:val="18"/>
        </w:rPr>
        <w:t>Über TÜV Rheinland Consulting</w:t>
      </w:r>
    </w:p>
    <w:p w14:paraId="23C20315" w14:textId="66453FDC" w:rsidR="00673563" w:rsidRPr="007E472B" w:rsidRDefault="00D50A1C" w:rsidP="77B34AD9">
      <w:pPr>
        <w:tabs>
          <w:tab w:val="left" w:pos="720"/>
          <w:tab w:val="left" w:pos="7380"/>
        </w:tabs>
        <w:spacing w:after="0" w:line="360" w:lineRule="auto"/>
        <w:rPr>
          <w:rFonts w:ascii="Arial" w:hAnsi="Arial" w:cs="Arial"/>
          <w:i/>
          <w:iCs/>
          <w:sz w:val="18"/>
          <w:szCs w:val="18"/>
        </w:rPr>
      </w:pPr>
      <w:r w:rsidRPr="007E472B">
        <w:rPr>
          <w:rFonts w:ascii="Arial" w:hAnsi="Arial" w:cs="Arial"/>
          <w:i/>
          <w:iCs/>
          <w:sz w:val="18"/>
          <w:szCs w:val="18"/>
        </w:rPr>
        <w:t>Als Beratungs- und Projektmanagementdienstleister von TÜV Rheinland schafft TÜV Rheinland Consulting individuelle Lösungskonzepte für seine Kunden und Kundinnen. Kompetenzen sind die Beratung zu den Themen</w:t>
      </w:r>
      <w:r w:rsidR="0037193B" w:rsidRPr="007E472B">
        <w:rPr>
          <w:rFonts w:ascii="Arial" w:hAnsi="Arial" w:cs="Arial"/>
          <w:i/>
          <w:iCs/>
          <w:sz w:val="18"/>
          <w:szCs w:val="18"/>
        </w:rPr>
        <w:t xml:space="preserve"> </w:t>
      </w:r>
      <w:r w:rsidRPr="007E472B">
        <w:rPr>
          <w:rFonts w:ascii="Arial" w:hAnsi="Arial" w:cs="Arial"/>
          <w:i/>
          <w:iCs/>
          <w:sz w:val="18"/>
          <w:szCs w:val="18"/>
        </w:rPr>
        <w:t>Forschungsmanagement, Infrastrukturmanagement</w:t>
      </w:r>
      <w:r w:rsidR="0037193B" w:rsidRPr="007E472B">
        <w:rPr>
          <w:rFonts w:ascii="Arial" w:hAnsi="Arial" w:cs="Arial"/>
          <w:i/>
          <w:iCs/>
          <w:sz w:val="18"/>
          <w:szCs w:val="18"/>
        </w:rPr>
        <w:t xml:space="preserve">, </w:t>
      </w:r>
      <w:r w:rsidRPr="007E472B">
        <w:rPr>
          <w:rFonts w:ascii="Arial" w:hAnsi="Arial" w:cs="Arial"/>
          <w:i/>
          <w:iCs/>
          <w:sz w:val="18"/>
          <w:szCs w:val="18"/>
        </w:rPr>
        <w:t>Managementberatung</w:t>
      </w:r>
      <w:r w:rsidR="0037193B" w:rsidRPr="007E472B">
        <w:rPr>
          <w:rFonts w:ascii="Arial" w:hAnsi="Arial" w:cs="Arial"/>
          <w:i/>
          <w:iCs/>
          <w:sz w:val="18"/>
          <w:szCs w:val="18"/>
        </w:rPr>
        <w:t xml:space="preserve"> und Nachhaltigkeitsberatung</w:t>
      </w:r>
      <w:r w:rsidRPr="007E472B">
        <w:rPr>
          <w:rFonts w:ascii="Arial" w:hAnsi="Arial" w:cs="Arial"/>
          <w:i/>
          <w:iCs/>
          <w:sz w:val="18"/>
          <w:szCs w:val="18"/>
        </w:rPr>
        <w:t>. Als unabhängiger Dienstleister mit hoher Fachkompetenz und branchenübergreifender Erfahrung</w:t>
      </w:r>
      <w:r w:rsidR="00B02542" w:rsidRPr="007E472B">
        <w:rPr>
          <w:rFonts w:ascii="Arial" w:hAnsi="Arial" w:cs="Arial"/>
          <w:i/>
          <w:iCs/>
          <w:sz w:val="18"/>
          <w:szCs w:val="18"/>
        </w:rPr>
        <w:t xml:space="preserve"> im öffentlichen Sektor und der Privatwirtschaft – national wie auch international, beraten bei TÜV Rheinland Consulting über 300 Mitarbeitende an den Standorten Köln, Berlin, Nürnberg, Frankfurt am Main, Dresden, Gera und Essen.</w:t>
      </w:r>
      <w:r w:rsidR="00AB67ED" w:rsidRPr="007E472B">
        <w:rPr>
          <w:rFonts w:ascii="Arial" w:hAnsi="Arial" w:cs="Arial"/>
          <w:i/>
          <w:iCs/>
          <w:sz w:val="18"/>
          <w:szCs w:val="18"/>
        </w:rPr>
        <w:t xml:space="preserve"> </w:t>
      </w:r>
    </w:p>
    <w:p w14:paraId="0D40E653" w14:textId="77777777" w:rsidR="00AB67ED" w:rsidRPr="0042125E" w:rsidRDefault="00AB67ED" w:rsidP="0042125E">
      <w:pPr>
        <w:tabs>
          <w:tab w:val="left" w:pos="720"/>
          <w:tab w:val="left" w:pos="7380"/>
        </w:tabs>
        <w:spacing w:after="0" w:line="360" w:lineRule="auto"/>
        <w:rPr>
          <w:rFonts w:ascii="Arial" w:hAnsi="Arial" w:cs="Arial"/>
          <w:bCs/>
          <w:i/>
          <w:iCs/>
          <w:sz w:val="20"/>
          <w:szCs w:val="20"/>
        </w:rPr>
      </w:pPr>
    </w:p>
    <w:p w14:paraId="595E845F" w14:textId="23057764" w:rsidR="007D0597" w:rsidRDefault="007D0597" w:rsidP="00673563">
      <w:pPr>
        <w:tabs>
          <w:tab w:val="left" w:pos="720"/>
          <w:tab w:val="left" w:pos="7380"/>
        </w:tabs>
        <w:spacing w:after="0" w:line="360" w:lineRule="auto"/>
        <w:rPr>
          <w:rFonts w:ascii="Arial" w:hAnsi="Arial" w:cs="Arial"/>
          <w:color w:val="000000"/>
          <w:sz w:val="20"/>
          <w:szCs w:val="20"/>
        </w:rPr>
      </w:pPr>
      <w:r>
        <w:rPr>
          <w:rFonts w:ascii="Arial" w:hAnsi="Arial" w:cs="Arial"/>
          <w:color w:val="000000"/>
          <w:sz w:val="20"/>
          <w:szCs w:val="20"/>
        </w:rPr>
        <w:t>- 2 -</w:t>
      </w:r>
    </w:p>
    <w:p w14:paraId="1D298006" w14:textId="3E4895D4"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history="1">
        <w:r w:rsidRPr="00713E20">
          <w:rPr>
            <w:rStyle w:val="Hyperlink"/>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4"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5"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40C1" w14:textId="77777777" w:rsidR="00FE5F16" w:rsidRDefault="00FE5F16" w:rsidP="00D72123">
      <w:pPr>
        <w:spacing w:after="0" w:line="240" w:lineRule="auto"/>
      </w:pPr>
      <w:r>
        <w:separator/>
      </w:r>
    </w:p>
  </w:endnote>
  <w:endnote w:type="continuationSeparator" w:id="0">
    <w:p w14:paraId="22F1C6A0" w14:textId="77777777" w:rsidR="00FE5F16" w:rsidRDefault="00FE5F16"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6CD0E" w14:textId="77777777" w:rsidR="00FE5F16" w:rsidRDefault="00FE5F16" w:rsidP="00D72123">
      <w:pPr>
        <w:spacing w:after="0" w:line="240" w:lineRule="auto"/>
      </w:pPr>
      <w:r>
        <w:separator/>
      </w:r>
    </w:p>
  </w:footnote>
  <w:footnote w:type="continuationSeparator" w:id="0">
    <w:p w14:paraId="5D81C6D1" w14:textId="77777777" w:rsidR="00FE5F16" w:rsidRDefault="00FE5F16"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40F1BF13">
              <v:stroke joinstyle="miter"/>
              <v:path gradientshapeok="t" o:connecttype="rect"/>
            </v:shapetype>
            <v:shape id="Textfeld 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v:textbox style="layout-flow:vertical;mso-layout-flow-alt:bottom-to-top">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2"/>
  </w:num>
  <w:num w:numId="2" w16cid:durableId="684481105">
    <w:abstractNumId w:val="1"/>
  </w:num>
  <w:num w:numId="3" w16cid:durableId="169341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0654E"/>
    <w:rsid w:val="00054D0A"/>
    <w:rsid w:val="00061BAD"/>
    <w:rsid w:val="00064B9D"/>
    <w:rsid w:val="0006533A"/>
    <w:rsid w:val="0009697A"/>
    <w:rsid w:val="000A4B26"/>
    <w:rsid w:val="000E1C4C"/>
    <w:rsid w:val="000F2434"/>
    <w:rsid w:val="00106DB6"/>
    <w:rsid w:val="001073FA"/>
    <w:rsid w:val="00124089"/>
    <w:rsid w:val="00150E4E"/>
    <w:rsid w:val="001644D0"/>
    <w:rsid w:val="00181C2F"/>
    <w:rsid w:val="00195ACC"/>
    <w:rsid w:val="001D18D1"/>
    <w:rsid w:val="001E4007"/>
    <w:rsid w:val="00201861"/>
    <w:rsid w:val="002207B1"/>
    <w:rsid w:val="00233554"/>
    <w:rsid w:val="0025433C"/>
    <w:rsid w:val="0025449E"/>
    <w:rsid w:val="00264F71"/>
    <w:rsid w:val="002977DD"/>
    <w:rsid w:val="002B4D4D"/>
    <w:rsid w:val="002D64D8"/>
    <w:rsid w:val="002D665E"/>
    <w:rsid w:val="00305ED7"/>
    <w:rsid w:val="003222D6"/>
    <w:rsid w:val="00330B36"/>
    <w:rsid w:val="00352917"/>
    <w:rsid w:val="00356470"/>
    <w:rsid w:val="0035674C"/>
    <w:rsid w:val="0037193B"/>
    <w:rsid w:val="003938BD"/>
    <w:rsid w:val="003C15AF"/>
    <w:rsid w:val="003C722D"/>
    <w:rsid w:val="003D259E"/>
    <w:rsid w:val="003E413D"/>
    <w:rsid w:val="003E70CB"/>
    <w:rsid w:val="003E7643"/>
    <w:rsid w:val="00406AAA"/>
    <w:rsid w:val="00410EA5"/>
    <w:rsid w:val="0041547B"/>
    <w:rsid w:val="0042125E"/>
    <w:rsid w:val="00422FB4"/>
    <w:rsid w:val="00431F6C"/>
    <w:rsid w:val="00434493"/>
    <w:rsid w:val="00461A1B"/>
    <w:rsid w:val="004869D2"/>
    <w:rsid w:val="004A36D0"/>
    <w:rsid w:val="004C58F7"/>
    <w:rsid w:val="004E0AFA"/>
    <w:rsid w:val="004E535D"/>
    <w:rsid w:val="00500879"/>
    <w:rsid w:val="005023C9"/>
    <w:rsid w:val="005657DF"/>
    <w:rsid w:val="0058780D"/>
    <w:rsid w:val="005B2628"/>
    <w:rsid w:val="005C2271"/>
    <w:rsid w:val="005C39AF"/>
    <w:rsid w:val="005C4A8F"/>
    <w:rsid w:val="005E2177"/>
    <w:rsid w:val="005F7154"/>
    <w:rsid w:val="00623A9C"/>
    <w:rsid w:val="00624234"/>
    <w:rsid w:val="00637FFE"/>
    <w:rsid w:val="00644A21"/>
    <w:rsid w:val="0064526B"/>
    <w:rsid w:val="006537E3"/>
    <w:rsid w:val="00673563"/>
    <w:rsid w:val="006A3096"/>
    <w:rsid w:val="006A4796"/>
    <w:rsid w:val="006D7AEC"/>
    <w:rsid w:val="00701251"/>
    <w:rsid w:val="00707004"/>
    <w:rsid w:val="00713E20"/>
    <w:rsid w:val="0071494C"/>
    <w:rsid w:val="00733588"/>
    <w:rsid w:val="00754CEE"/>
    <w:rsid w:val="007C24CE"/>
    <w:rsid w:val="007C5222"/>
    <w:rsid w:val="007D0597"/>
    <w:rsid w:val="007E07C0"/>
    <w:rsid w:val="007E472B"/>
    <w:rsid w:val="007F1BE8"/>
    <w:rsid w:val="00832D9D"/>
    <w:rsid w:val="0085176A"/>
    <w:rsid w:val="00870E2A"/>
    <w:rsid w:val="008B2C5A"/>
    <w:rsid w:val="008C41B6"/>
    <w:rsid w:val="008C4EEA"/>
    <w:rsid w:val="008D7592"/>
    <w:rsid w:val="008E1EEC"/>
    <w:rsid w:val="008E29CA"/>
    <w:rsid w:val="008E300B"/>
    <w:rsid w:val="008E3E1F"/>
    <w:rsid w:val="008E444B"/>
    <w:rsid w:val="00910393"/>
    <w:rsid w:val="00914B2B"/>
    <w:rsid w:val="009177D7"/>
    <w:rsid w:val="00965509"/>
    <w:rsid w:val="00972400"/>
    <w:rsid w:val="00986325"/>
    <w:rsid w:val="009D404E"/>
    <w:rsid w:val="009F1131"/>
    <w:rsid w:val="00A41106"/>
    <w:rsid w:val="00A57622"/>
    <w:rsid w:val="00A60F23"/>
    <w:rsid w:val="00A836B2"/>
    <w:rsid w:val="00A84790"/>
    <w:rsid w:val="00A917A6"/>
    <w:rsid w:val="00A96D76"/>
    <w:rsid w:val="00AB5977"/>
    <w:rsid w:val="00AB67ED"/>
    <w:rsid w:val="00AC0CA7"/>
    <w:rsid w:val="00B02542"/>
    <w:rsid w:val="00B14C97"/>
    <w:rsid w:val="00B45F80"/>
    <w:rsid w:val="00B62302"/>
    <w:rsid w:val="00B6498E"/>
    <w:rsid w:val="00B7224A"/>
    <w:rsid w:val="00B73198"/>
    <w:rsid w:val="00BB1D8B"/>
    <w:rsid w:val="00BB3F67"/>
    <w:rsid w:val="00BE5190"/>
    <w:rsid w:val="00BF38FA"/>
    <w:rsid w:val="00C159DC"/>
    <w:rsid w:val="00C23770"/>
    <w:rsid w:val="00C45E98"/>
    <w:rsid w:val="00C47365"/>
    <w:rsid w:val="00C56CF8"/>
    <w:rsid w:val="00C6773C"/>
    <w:rsid w:val="00C719CD"/>
    <w:rsid w:val="00C81B8A"/>
    <w:rsid w:val="00C941AB"/>
    <w:rsid w:val="00CB2873"/>
    <w:rsid w:val="00CD3503"/>
    <w:rsid w:val="00CE46ED"/>
    <w:rsid w:val="00D16F8B"/>
    <w:rsid w:val="00D37834"/>
    <w:rsid w:val="00D50A1C"/>
    <w:rsid w:val="00D5228C"/>
    <w:rsid w:val="00D60257"/>
    <w:rsid w:val="00D72123"/>
    <w:rsid w:val="00D76496"/>
    <w:rsid w:val="00DA3D25"/>
    <w:rsid w:val="00DC52D1"/>
    <w:rsid w:val="00E14871"/>
    <w:rsid w:val="00E45661"/>
    <w:rsid w:val="00E5235D"/>
    <w:rsid w:val="00E65A37"/>
    <w:rsid w:val="00E73281"/>
    <w:rsid w:val="00E77D3C"/>
    <w:rsid w:val="00E8397D"/>
    <w:rsid w:val="00EA487A"/>
    <w:rsid w:val="00EC10CC"/>
    <w:rsid w:val="00ED7B81"/>
    <w:rsid w:val="00EE100B"/>
    <w:rsid w:val="00F07706"/>
    <w:rsid w:val="00F17684"/>
    <w:rsid w:val="00F64495"/>
    <w:rsid w:val="00F90D2F"/>
    <w:rsid w:val="00FB6643"/>
    <w:rsid w:val="00FB6FB4"/>
    <w:rsid w:val="00FE5F16"/>
    <w:rsid w:val="00FF5BB7"/>
    <w:rsid w:val="354ED14F"/>
    <w:rsid w:val="3BBDFB15"/>
    <w:rsid w:val="3D984E95"/>
    <w:rsid w:val="45951199"/>
    <w:rsid w:val="482FE725"/>
    <w:rsid w:val="49A71D24"/>
    <w:rsid w:val="4A0D4756"/>
    <w:rsid w:val="572AB898"/>
    <w:rsid w:val="6BB093C5"/>
    <w:rsid w:val="6D270D4B"/>
    <w:rsid w:val="6F264046"/>
    <w:rsid w:val="77B34AD9"/>
    <w:rsid w:val="78F74616"/>
    <w:rsid w:val="7F4EEF2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64526B"/>
    <w:rPr>
      <w:color w:val="605E5C"/>
      <w:shd w:val="clear" w:color="auto" w:fill="E1DFDD"/>
    </w:rPr>
  </w:style>
  <w:style w:type="paragraph" w:styleId="berarbeitung">
    <w:name w:val="Revision"/>
    <w:hidden/>
    <w:uiPriority w:val="99"/>
    <w:semiHidden/>
    <w:rsid w:val="007E4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op-consultant.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consulting"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CA4B0-BA84-42AA-8A44-61FFBA340E55}">
  <ds:schemaRefs>
    <ds:schemaRef ds:uri="http://schemas.openxmlformats.org/package/2006/metadata/core-properties"/>
    <ds:schemaRef ds:uri="http://purl.org/dc/elements/1.1/"/>
    <ds:schemaRef ds:uri="http://schemas.microsoft.com/office/infopath/2007/PartnerControls"/>
    <ds:schemaRef ds:uri="93ea50ef-26a9-4bba-82b3-5a178f06628e"/>
    <ds:schemaRef ds:uri="http://purl.org/dc/terms/"/>
    <ds:schemaRef ds:uri="http://schemas.microsoft.com/office/2006/documentManagement/types"/>
    <ds:schemaRef ds:uri="af09376d-2fe7-44ac-8320-bc2f3c525e4d"/>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4517</Characters>
  <Application>Microsoft Office Word</Application>
  <DocSecurity>0</DocSecurity>
  <Lines>37</Lines>
  <Paragraphs>10</Paragraphs>
  <ScaleCrop>false</ScaleCrop>
  <Company>TUV</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Raphaela Fremuth</cp:lastModifiedBy>
  <cp:revision>3</cp:revision>
  <cp:lastPrinted>2017-12-06T08:02:00Z</cp:lastPrinted>
  <dcterms:created xsi:type="dcterms:W3CDTF">2024-06-28T09:04:00Z</dcterms:created>
  <dcterms:modified xsi:type="dcterms:W3CDTF">2024-06-28T09:05:00Z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