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D5C1" w14:textId="1F5861A0" w:rsidR="00D5228C" w:rsidRPr="0050356A" w:rsidRDefault="009F784D" w:rsidP="0050356A">
      <w:pPr>
        <w:pStyle w:val="berschrift1"/>
        <w:numPr>
          <w:ilvl w:val="0"/>
          <w:numId w:val="0"/>
        </w:numPr>
        <w:tabs>
          <w:tab w:val="center" w:pos="4536"/>
          <w:tab w:val="right" w:pos="9072"/>
        </w:tabs>
        <w:spacing w:after="0" w:line="360" w:lineRule="auto"/>
        <w:ind w:right="-2"/>
        <w:rPr>
          <w:rFonts w:eastAsia="Times New Roman" w:cs="Arial"/>
          <w:bCs/>
          <w:sz w:val="20"/>
          <w:szCs w:val="20"/>
          <w:u w:val="single"/>
          <w:lang w:eastAsia="de-DE"/>
        </w:rPr>
      </w:pPr>
      <w:r w:rsidRPr="0050356A">
        <w:rPr>
          <w:rFonts w:eastAsia="Times New Roman" w:cs="Arial"/>
          <w:sz w:val="20"/>
          <w:szCs w:val="20"/>
          <w:u w:val="single"/>
          <w:lang w:eastAsia="de-DE"/>
        </w:rPr>
        <w:t>HELLA und TÜV Rheinland: Neue „Traffic Rule Engine“-Software für autonome Fahrzeuge</w:t>
      </w:r>
      <w:r w:rsidR="008B2C5A" w:rsidRPr="0050356A">
        <w:rPr>
          <w:rFonts w:eastAsia="Times New Roman" w:cs="Arial"/>
          <w:sz w:val="20"/>
          <w:szCs w:val="20"/>
          <w:u w:val="single"/>
          <w:lang w:eastAsia="de-DE"/>
        </w:rPr>
        <w:t xml:space="preserve"> </w:t>
      </w:r>
    </w:p>
    <w:p w14:paraId="04AD2536" w14:textId="5D583ADA" w:rsidR="009F784D" w:rsidRPr="0050356A" w:rsidRDefault="009F784D" w:rsidP="0050356A">
      <w:pPr>
        <w:widowControl w:val="0"/>
        <w:autoSpaceDE w:val="0"/>
        <w:autoSpaceDN w:val="0"/>
        <w:spacing w:before="240" w:after="240" w:line="360" w:lineRule="auto"/>
        <w:ind w:right="119"/>
        <w:rPr>
          <w:rFonts w:ascii="Arial" w:eastAsia="MS Mincho" w:hAnsi="Arial" w:cs="Arial"/>
          <w:snapToGrid w:val="0"/>
          <w:color w:val="000000" w:themeColor="text1"/>
          <w:sz w:val="20"/>
          <w:szCs w:val="20"/>
          <w:lang w:eastAsia="de-DE"/>
        </w:rPr>
      </w:pPr>
      <w:r w:rsidRPr="0050356A">
        <w:rPr>
          <w:rFonts w:ascii="Arial" w:eastAsia="MS Mincho" w:hAnsi="Arial" w:cs="Arial"/>
          <w:snapToGrid w:val="0"/>
          <w:color w:val="000000" w:themeColor="text1"/>
          <w:sz w:val="20"/>
          <w:szCs w:val="20"/>
          <w:lang w:eastAsia="de-DE"/>
        </w:rPr>
        <w:t>Softwaremodul kennt lokale Verkehrsvorschriften und ermöglicht autonomen Fahrzeugen regelkonformes Verhalten / Im Vergleich zu geschlossenen Systemen kann „Traffic Rule Engine“ über Over-</w:t>
      </w:r>
      <w:proofErr w:type="spellStart"/>
      <w:r w:rsidRPr="0050356A">
        <w:rPr>
          <w:rFonts w:ascii="Arial" w:eastAsia="MS Mincho" w:hAnsi="Arial" w:cs="Arial"/>
          <w:snapToGrid w:val="0"/>
          <w:color w:val="000000" w:themeColor="text1"/>
          <w:sz w:val="20"/>
          <w:szCs w:val="20"/>
          <w:lang w:eastAsia="de-DE"/>
        </w:rPr>
        <w:t>the</w:t>
      </w:r>
      <w:proofErr w:type="spellEnd"/>
      <w:r w:rsidRPr="0050356A">
        <w:rPr>
          <w:rFonts w:ascii="Arial" w:eastAsia="MS Mincho" w:hAnsi="Arial" w:cs="Arial"/>
          <w:snapToGrid w:val="0"/>
          <w:color w:val="000000" w:themeColor="text1"/>
          <w:sz w:val="20"/>
          <w:szCs w:val="20"/>
          <w:lang w:eastAsia="de-DE"/>
        </w:rPr>
        <w:t xml:space="preserve">-Air-Updates fortlaufend aktualisiert werden / Schwerpunkt HELLA: Softwareentwicklung sowie Datenbasis, TÜV Rheinland unterstützt bei Typgenehmigung </w:t>
      </w:r>
    </w:p>
    <w:p w14:paraId="7A872907" w14:textId="36DB2818" w:rsidR="009F784D" w:rsidRPr="0050356A" w:rsidRDefault="00870E2A" w:rsidP="0050356A">
      <w:pPr>
        <w:spacing w:before="240" w:line="360" w:lineRule="auto"/>
        <w:jc w:val="both"/>
        <w:rPr>
          <w:rFonts w:ascii="Arial" w:hAnsi="Arial" w:cs="Arial"/>
          <w:sz w:val="20"/>
          <w:szCs w:val="20"/>
        </w:rPr>
      </w:pPr>
      <w:r w:rsidRPr="0050356A">
        <w:rPr>
          <w:rFonts w:ascii="Arial" w:hAnsi="Arial" w:cs="Arial"/>
          <w:b/>
          <w:sz w:val="20"/>
          <w:szCs w:val="20"/>
        </w:rPr>
        <w:t>Köln</w:t>
      </w:r>
      <w:r w:rsidR="00C6773C" w:rsidRPr="0050356A">
        <w:rPr>
          <w:rFonts w:ascii="Arial" w:hAnsi="Arial" w:cs="Arial"/>
          <w:b/>
          <w:sz w:val="20"/>
          <w:szCs w:val="20"/>
        </w:rPr>
        <w:t xml:space="preserve">, </w:t>
      </w:r>
      <w:r w:rsidR="009F784D" w:rsidRPr="0050356A">
        <w:rPr>
          <w:rFonts w:ascii="Arial" w:hAnsi="Arial" w:cs="Arial"/>
          <w:b/>
          <w:sz w:val="20"/>
          <w:szCs w:val="20"/>
        </w:rPr>
        <w:t>08</w:t>
      </w:r>
      <w:r w:rsidR="00D5228C" w:rsidRPr="0050356A">
        <w:rPr>
          <w:rFonts w:ascii="Arial" w:hAnsi="Arial" w:cs="Arial"/>
          <w:b/>
          <w:sz w:val="20"/>
          <w:szCs w:val="20"/>
        </w:rPr>
        <w:t>.</w:t>
      </w:r>
      <w:r w:rsidR="00C6773C" w:rsidRPr="0050356A">
        <w:rPr>
          <w:rFonts w:ascii="Arial" w:hAnsi="Arial" w:cs="Arial"/>
          <w:b/>
          <w:sz w:val="20"/>
          <w:szCs w:val="20"/>
        </w:rPr>
        <w:t xml:space="preserve"> </w:t>
      </w:r>
      <w:r w:rsidR="009F784D" w:rsidRPr="0050356A">
        <w:rPr>
          <w:rFonts w:ascii="Arial" w:hAnsi="Arial" w:cs="Arial"/>
          <w:b/>
          <w:sz w:val="20"/>
          <w:szCs w:val="20"/>
        </w:rPr>
        <w:t>Januar</w:t>
      </w:r>
      <w:r w:rsidR="008E29CA" w:rsidRPr="0050356A">
        <w:rPr>
          <w:rFonts w:ascii="Arial" w:hAnsi="Arial" w:cs="Arial"/>
          <w:b/>
          <w:sz w:val="20"/>
          <w:szCs w:val="20"/>
        </w:rPr>
        <w:t xml:space="preserve"> </w:t>
      </w:r>
      <w:r w:rsidR="009F784D" w:rsidRPr="0050356A">
        <w:rPr>
          <w:rFonts w:ascii="Arial" w:hAnsi="Arial" w:cs="Arial"/>
          <w:b/>
          <w:sz w:val="20"/>
          <w:szCs w:val="20"/>
        </w:rPr>
        <w:t>2024</w:t>
      </w:r>
      <w:r w:rsidR="00C6773C" w:rsidRPr="0050356A">
        <w:rPr>
          <w:rFonts w:ascii="Arial" w:hAnsi="Arial" w:cs="Arial"/>
          <w:sz w:val="20"/>
          <w:szCs w:val="20"/>
        </w:rPr>
        <w:t xml:space="preserve">. </w:t>
      </w:r>
      <w:r w:rsidR="009F784D" w:rsidRPr="0050356A">
        <w:rPr>
          <w:rFonts w:ascii="Arial" w:hAnsi="Arial" w:cs="Arial"/>
          <w:sz w:val="20"/>
          <w:szCs w:val="20"/>
        </w:rPr>
        <w:t xml:space="preserve">Der unter der Dachmarke FORVIA agierende Automobilzulieferer HELLA und TÜV Rheinland haben im Bereich des autonomen Fahrens eine Kooperation vereinbart. Ziel der Zusammenarbeit ist die marktkonforme Entwicklung einer neuen „Traffic Rule Engine“: Dieses neue Softwaremodul kennt die jeweils geltenden lokalen Verkehrsvorschriften und ermöglicht so autonomen Fahrzeugen ein regelkonformes Verhalten. </w:t>
      </w:r>
    </w:p>
    <w:p w14:paraId="2E3DEF59" w14:textId="77777777" w:rsidR="009F784D" w:rsidRPr="0050356A" w:rsidRDefault="009F784D" w:rsidP="0050356A">
      <w:pPr>
        <w:spacing w:before="240" w:line="360" w:lineRule="auto"/>
        <w:jc w:val="both"/>
        <w:rPr>
          <w:rFonts w:ascii="Arial" w:hAnsi="Arial" w:cs="Arial"/>
          <w:sz w:val="20"/>
          <w:szCs w:val="20"/>
        </w:rPr>
      </w:pPr>
      <w:r w:rsidRPr="0050356A">
        <w:rPr>
          <w:rFonts w:ascii="Arial" w:hAnsi="Arial" w:cs="Arial"/>
          <w:sz w:val="20"/>
          <w:szCs w:val="20"/>
        </w:rPr>
        <w:t xml:space="preserve">Im Mittelpunkt der Zusammenarbeit zwischen dem Automobilzulieferer und dem Prüfdienstleister stehen automatisierte Fahrzeuge mit SAE-Level 3 und höher. So verfügen Fahrzeuge auf dieser Entwicklungsstufe über ein System, das zumindest zeitweiliges autonomes Fahren ermöglicht. Fahrer können sich daher in bestimmten Situationen vom Straßenverkehr abwenden und anderen Dingen zuwenden. die Verantwortung der Fahrzeugführung wird in diesem Modus vom Fahrer auf den Hersteller übertragen. </w:t>
      </w:r>
    </w:p>
    <w:p w14:paraId="19140246" w14:textId="77777777" w:rsidR="009F784D" w:rsidRPr="0050356A" w:rsidRDefault="009F784D" w:rsidP="0050356A">
      <w:pPr>
        <w:spacing w:before="240" w:line="360" w:lineRule="auto"/>
        <w:jc w:val="both"/>
        <w:rPr>
          <w:rFonts w:ascii="Arial" w:hAnsi="Arial" w:cs="Arial"/>
          <w:sz w:val="20"/>
          <w:szCs w:val="20"/>
        </w:rPr>
      </w:pPr>
      <w:r w:rsidRPr="0050356A">
        <w:rPr>
          <w:rFonts w:ascii="Arial" w:hAnsi="Arial" w:cs="Arial"/>
          <w:sz w:val="20"/>
          <w:szCs w:val="20"/>
        </w:rPr>
        <w:t xml:space="preserve">„Wenn hochautomatisierte Fahrzeuge Fahrsituationen selbstständig und ohne menschlichen Eingriff bewältigen sollen, dann müssen sie die jeweils geltenden Regeln im Straßenverkehr zu jedem Zeitpunkt kennen und uneingeschränkt beherrschen können. Mit der Traffic Rule Engine schaffen wir hierfür eine leistungsstarke technologische Grundlage und decken in Zusammenarbeit mit TÜV Rheinland die Prozesskette von Anfang bis Ende vollständig ab“, sagt Kay Talmi, Geschäftsführer von Hella Aglaia, ein in Berlin ansässiges und auf Softwareentwicklung spezialisiertes Tochterunternehmen von HELLA. </w:t>
      </w:r>
    </w:p>
    <w:p w14:paraId="2FA80236" w14:textId="77777777" w:rsidR="009F784D" w:rsidRPr="0050356A" w:rsidRDefault="009F784D" w:rsidP="0050356A">
      <w:pPr>
        <w:spacing w:before="240" w:line="360" w:lineRule="auto"/>
        <w:jc w:val="both"/>
        <w:rPr>
          <w:rFonts w:ascii="Arial" w:hAnsi="Arial" w:cs="Arial"/>
          <w:sz w:val="20"/>
          <w:szCs w:val="20"/>
        </w:rPr>
      </w:pPr>
      <w:r w:rsidRPr="0050356A">
        <w:rPr>
          <w:rFonts w:ascii="Arial" w:hAnsi="Arial" w:cs="Arial"/>
          <w:sz w:val="20"/>
          <w:szCs w:val="20"/>
        </w:rPr>
        <w:t xml:space="preserve">Entwickelt wird daher ein Softwaremodul, welches die geplanten Aktionen des Fahrzeugs überwacht und diese auf Basis von Sensor- und Kartendaten mit den aktuell geltenden Verkehrsregeln abgleicht. Wird eine Abweichung festgestellt, erfolgt in Echtzeit eine Rückmeldung an das Fahrsystem. Um sicherzustellen, dass </w:t>
      </w:r>
      <w:r w:rsidRPr="0050356A">
        <w:rPr>
          <w:rFonts w:ascii="Arial" w:hAnsi="Arial" w:cs="Arial"/>
          <w:sz w:val="20"/>
          <w:szCs w:val="20"/>
        </w:rPr>
        <w:lastRenderedPageBreak/>
        <w:t>zu jeder Zeit die neuesten Verkehrsregeln eines Landes verwendet werden, kann das Softwaremodul im Vergleich zu geschlossenen Systemen per Over-</w:t>
      </w:r>
      <w:proofErr w:type="spellStart"/>
      <w:r w:rsidRPr="0050356A">
        <w:rPr>
          <w:rFonts w:ascii="Arial" w:hAnsi="Arial" w:cs="Arial"/>
          <w:sz w:val="20"/>
          <w:szCs w:val="20"/>
        </w:rPr>
        <w:t>the</w:t>
      </w:r>
      <w:proofErr w:type="spellEnd"/>
      <w:r w:rsidRPr="0050356A">
        <w:rPr>
          <w:rFonts w:ascii="Arial" w:hAnsi="Arial" w:cs="Arial"/>
          <w:sz w:val="20"/>
          <w:szCs w:val="20"/>
        </w:rPr>
        <w:t>-Air-Update fortlaufend und kosteneffizient aktualisiert werden.</w:t>
      </w:r>
    </w:p>
    <w:p w14:paraId="5B698FBB" w14:textId="0880A529" w:rsidR="009F784D" w:rsidRPr="0050356A" w:rsidRDefault="009F784D" w:rsidP="0050356A">
      <w:pPr>
        <w:spacing w:before="240" w:line="360" w:lineRule="auto"/>
        <w:jc w:val="both"/>
        <w:rPr>
          <w:rFonts w:ascii="Arial" w:hAnsi="Arial" w:cs="Arial"/>
          <w:sz w:val="20"/>
          <w:szCs w:val="20"/>
        </w:rPr>
      </w:pPr>
      <w:r w:rsidRPr="0050356A">
        <w:rPr>
          <w:rFonts w:ascii="Arial" w:hAnsi="Arial" w:cs="Arial"/>
          <w:sz w:val="20"/>
          <w:szCs w:val="20"/>
        </w:rPr>
        <w:t xml:space="preserve">Im Rahmen der Zusammenarbeit liegt der Fokus von Hella Aglaia auf der Entwicklung der „Traffic Rules Engine“ mit der zugrundeliegenden Verkehrsregeldatenbank sowie dem Algorithmus, über den die Ausführung der entsprechenden Regelungen erfolgt. Zu den Schwerpunkten von TÜV Rheinland gehören die Berücksichtigung der genehmigungsrelevanten Anforderungen für die Software der „Traffic Rule Engine“ </w:t>
      </w:r>
      <w:r w:rsidR="00A14313">
        <w:rPr>
          <w:rFonts w:ascii="Arial" w:hAnsi="Arial" w:cs="Arial"/>
          <w:sz w:val="20"/>
          <w:szCs w:val="20"/>
        </w:rPr>
        <w:t>und</w:t>
      </w:r>
      <w:r w:rsidRPr="0050356A">
        <w:rPr>
          <w:rFonts w:ascii="Arial" w:hAnsi="Arial" w:cs="Arial"/>
          <w:sz w:val="20"/>
          <w:szCs w:val="20"/>
        </w:rPr>
        <w:t xml:space="preserve"> die Typgenehmigung automatisierter sowie autonomer Fahrzeuge. </w:t>
      </w:r>
    </w:p>
    <w:p w14:paraId="7BBBE906" w14:textId="77777777" w:rsidR="009F784D" w:rsidRPr="0050356A" w:rsidRDefault="009F784D" w:rsidP="0050356A">
      <w:pPr>
        <w:spacing w:before="240" w:line="360" w:lineRule="auto"/>
        <w:jc w:val="both"/>
        <w:rPr>
          <w:rFonts w:ascii="Arial" w:hAnsi="Arial" w:cs="Arial"/>
          <w:sz w:val="20"/>
          <w:szCs w:val="20"/>
        </w:rPr>
      </w:pPr>
      <w:r w:rsidRPr="0050356A">
        <w:rPr>
          <w:rFonts w:ascii="Arial" w:hAnsi="Arial" w:cs="Arial"/>
          <w:sz w:val="20"/>
          <w:szCs w:val="20"/>
        </w:rPr>
        <w:t xml:space="preserve">„Die rasante Digitalisierung treibt die Mobilität zwar entscheidend voran, stellt gleichzeitig aber auch Entwickler, Hersteller, Genehmigungsbehörden sowie nationale und europäische Gesetzgebung vor neue Herausforderungen“, sagt Thomas Quernheim, Global </w:t>
      </w:r>
      <w:proofErr w:type="spellStart"/>
      <w:r w:rsidRPr="0050356A">
        <w:rPr>
          <w:rFonts w:ascii="Arial" w:hAnsi="Arial" w:cs="Arial"/>
          <w:sz w:val="20"/>
          <w:szCs w:val="20"/>
        </w:rPr>
        <w:t>Director</w:t>
      </w:r>
      <w:proofErr w:type="spellEnd"/>
      <w:r w:rsidRPr="0050356A">
        <w:rPr>
          <w:rFonts w:ascii="Arial" w:hAnsi="Arial" w:cs="Arial"/>
          <w:sz w:val="20"/>
          <w:szCs w:val="20"/>
        </w:rPr>
        <w:t xml:space="preserve"> Engineering und Homologation bei TÜV Rheinland. „Innovationen begleiten und unterstützen wir mit unserer Expertise oft schon lange bevor die genehmigungsrelevanten Abschnitte im Produkt-Lebenszyklus beginnen. Wir waren weltweit die ersten, die Genehmigungen im Automatisierungslevel 3 und 4 zum Erfolg geführt haben.“</w:t>
      </w:r>
    </w:p>
    <w:p w14:paraId="72E78130" w14:textId="72E09A18" w:rsidR="009F784D" w:rsidRPr="0050356A" w:rsidRDefault="009F784D" w:rsidP="0050356A">
      <w:pPr>
        <w:spacing w:before="240" w:line="360" w:lineRule="auto"/>
        <w:jc w:val="both"/>
        <w:rPr>
          <w:rFonts w:ascii="Arial" w:hAnsi="Arial" w:cs="Arial"/>
          <w:sz w:val="20"/>
          <w:szCs w:val="20"/>
        </w:rPr>
      </w:pPr>
      <w:r w:rsidRPr="0050356A">
        <w:rPr>
          <w:rFonts w:ascii="Arial" w:hAnsi="Arial" w:cs="Arial"/>
          <w:sz w:val="20"/>
          <w:szCs w:val="20"/>
        </w:rPr>
        <w:t xml:space="preserve">Erstmals der Öffentlichkeit vorgestellt wird die „Traffic Rule Engine“ nun auf der Consumer Electronics Show 2024 (CES), die vom 9. bis 12. Januar in Las Vegas stattfindet. In einem nächsten Schritt soll die Entwicklung auf unterschiedliche Automobilhersteller ausgeweitet werden. Zielmärkte sind zunächst der europäische sowie der nordamerikanische Raum. </w:t>
      </w:r>
    </w:p>
    <w:p w14:paraId="453F8658" w14:textId="77777777" w:rsidR="0050356A" w:rsidRDefault="0050356A" w:rsidP="0050356A">
      <w:pPr>
        <w:spacing w:before="240" w:line="360" w:lineRule="auto"/>
        <w:jc w:val="both"/>
        <w:rPr>
          <w:rFonts w:ascii="Arial" w:hAnsi="Arial" w:cs="Arial"/>
          <w:sz w:val="20"/>
          <w:szCs w:val="20"/>
          <w:highlight w:val="yellow"/>
        </w:rPr>
      </w:pPr>
    </w:p>
    <w:p w14:paraId="0E58424C" w14:textId="77777777" w:rsidR="0050356A" w:rsidRDefault="0050356A" w:rsidP="0050356A">
      <w:pPr>
        <w:spacing w:before="240" w:line="360" w:lineRule="auto"/>
        <w:jc w:val="both"/>
        <w:rPr>
          <w:rFonts w:ascii="Arial" w:hAnsi="Arial" w:cs="Arial"/>
          <w:sz w:val="20"/>
          <w:szCs w:val="20"/>
          <w:highlight w:val="yellow"/>
        </w:rPr>
      </w:pPr>
    </w:p>
    <w:p w14:paraId="33E0C0E5" w14:textId="77777777" w:rsidR="0050356A" w:rsidRDefault="0050356A" w:rsidP="0050356A">
      <w:pPr>
        <w:spacing w:before="240" w:line="360" w:lineRule="auto"/>
        <w:jc w:val="both"/>
        <w:rPr>
          <w:rFonts w:ascii="Arial" w:hAnsi="Arial" w:cs="Arial"/>
          <w:sz w:val="20"/>
          <w:szCs w:val="20"/>
          <w:highlight w:val="yellow"/>
        </w:rPr>
      </w:pPr>
    </w:p>
    <w:p w14:paraId="60B8D264" w14:textId="77777777" w:rsidR="0050356A" w:rsidRDefault="0050356A" w:rsidP="0050356A">
      <w:pPr>
        <w:spacing w:before="240" w:line="360" w:lineRule="auto"/>
        <w:jc w:val="both"/>
        <w:rPr>
          <w:rFonts w:ascii="Arial" w:hAnsi="Arial" w:cs="Arial"/>
          <w:sz w:val="20"/>
          <w:szCs w:val="20"/>
          <w:highlight w:val="yellow"/>
        </w:rPr>
      </w:pPr>
    </w:p>
    <w:p w14:paraId="2D22A95B" w14:textId="77777777" w:rsidR="0050356A" w:rsidRDefault="0050356A" w:rsidP="0050356A">
      <w:pPr>
        <w:spacing w:before="240" w:line="360" w:lineRule="auto"/>
        <w:jc w:val="both"/>
        <w:rPr>
          <w:rFonts w:ascii="Arial" w:hAnsi="Arial" w:cs="Arial"/>
          <w:sz w:val="20"/>
          <w:szCs w:val="20"/>
          <w:highlight w:val="yellow"/>
        </w:rPr>
      </w:pPr>
    </w:p>
    <w:p w14:paraId="7F68CF47" w14:textId="77777777" w:rsidR="0050356A" w:rsidRDefault="0050356A" w:rsidP="0050356A">
      <w:pPr>
        <w:spacing w:before="240" w:line="360" w:lineRule="auto"/>
        <w:jc w:val="both"/>
        <w:rPr>
          <w:rFonts w:ascii="Arial" w:hAnsi="Arial" w:cs="Arial"/>
          <w:sz w:val="20"/>
          <w:szCs w:val="20"/>
          <w:highlight w:val="yellow"/>
        </w:rPr>
      </w:pPr>
    </w:p>
    <w:p w14:paraId="4D4466F9" w14:textId="77777777" w:rsidR="0050356A" w:rsidRDefault="0050356A" w:rsidP="0050356A">
      <w:pPr>
        <w:spacing w:before="240" w:line="360" w:lineRule="auto"/>
        <w:jc w:val="both"/>
        <w:rPr>
          <w:rFonts w:ascii="Arial" w:hAnsi="Arial" w:cs="Arial"/>
          <w:sz w:val="20"/>
          <w:szCs w:val="20"/>
          <w:highlight w:val="yellow"/>
        </w:rPr>
      </w:pPr>
    </w:p>
    <w:p w14:paraId="357FA273" w14:textId="4EF7790D" w:rsidR="009F784D" w:rsidRPr="007B71E9" w:rsidRDefault="007B71E9" w:rsidP="007B71E9">
      <w:pPr>
        <w:spacing w:before="240" w:line="360" w:lineRule="auto"/>
        <w:rPr>
          <w:rFonts w:ascii="Arial" w:hAnsi="Arial" w:cs="Arial"/>
          <w:i/>
          <w:iCs/>
          <w:sz w:val="18"/>
          <w:szCs w:val="18"/>
        </w:rPr>
      </w:pPr>
      <w:r w:rsidRPr="007B71E9">
        <w:rPr>
          <w:rFonts w:ascii="Arial" w:hAnsi="Arial" w:cs="Arial"/>
          <w:b/>
          <w:bCs/>
          <w:i/>
          <w:iCs/>
          <w:sz w:val="18"/>
          <w:szCs w:val="18"/>
        </w:rPr>
        <w:lastRenderedPageBreak/>
        <w:t>Über HELLA</w:t>
      </w:r>
      <w:r>
        <w:rPr>
          <w:rFonts w:ascii="Arial" w:hAnsi="Arial" w:cs="Arial"/>
          <w:b/>
          <w:bCs/>
          <w:i/>
          <w:iCs/>
          <w:sz w:val="18"/>
          <w:szCs w:val="18"/>
        </w:rPr>
        <w:br/>
      </w:r>
      <w:r w:rsidRPr="007B71E9">
        <w:rPr>
          <w:rFonts w:ascii="Arial" w:hAnsi="Arial" w:cs="Arial"/>
          <w:i/>
          <w:iCs/>
          <w:sz w:val="18"/>
          <w:szCs w:val="18"/>
        </w:rPr>
        <w:t>HELLA ist ein börsennotierter, international aufgestellter Automobilzulieferer, der unter der Dachmarke FORVIA agiert. Innerhalb dieses faktischen Konzerns steht HELLA für leistungsstarke Lichttechnik sowie Fahrzeugelektronik. Zugleich deckt das Unternehmen mit seiner Business Group Lifecycle Solutions ein breites Service- und Produktportfolio für das Ersatzteil- und Werkstattgeschäft sowie für Hersteller von Spezialfahrzeugen ab. HELLA ist mit rund 36.000 Mitarbeiterinnen und Mitarbeitern an über 125 Standorten weltweit aktiv und hat im siebenmonatigen Rumpfgeschäftsjahr 2022 einen Umsatz in Höhe von 4,4 Milliarden Euro erzielt.</w:t>
      </w:r>
    </w:p>
    <w:p w14:paraId="1D298006" w14:textId="0FF059CC" w:rsidR="00713E20" w:rsidRPr="0050356A" w:rsidRDefault="009F784D" w:rsidP="0050356A">
      <w:pPr>
        <w:spacing w:before="240" w:line="360" w:lineRule="auto"/>
        <w:rPr>
          <w:rFonts w:ascii="Arial" w:hAnsi="Arial" w:cs="Arial"/>
          <w:i/>
          <w:iCs/>
          <w:sz w:val="18"/>
          <w:szCs w:val="18"/>
        </w:rPr>
      </w:pPr>
      <w:r w:rsidRPr="0050356A">
        <w:rPr>
          <w:rFonts w:ascii="Arial" w:hAnsi="Arial" w:cs="Arial"/>
          <w:b/>
          <w:bCs/>
          <w:sz w:val="18"/>
          <w:szCs w:val="18"/>
        </w:rPr>
        <w:t>Über TÜV Rheinland:</w:t>
      </w:r>
      <w:r w:rsidRPr="0050356A">
        <w:rPr>
          <w:rFonts w:ascii="Arial" w:hAnsi="Arial" w:cs="Arial"/>
          <w:b/>
          <w:bCs/>
          <w:sz w:val="18"/>
          <w:szCs w:val="18"/>
        </w:rPr>
        <w:br/>
      </w:r>
      <w:r w:rsidR="00713E20" w:rsidRPr="0050356A">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00713E20" w:rsidRPr="0050356A">
        <w:rPr>
          <w:rFonts w:ascii="Arial" w:hAnsi="Arial" w:cs="Arial"/>
          <w:i/>
          <w:iCs/>
          <w:sz w:val="18"/>
          <w:szCs w:val="18"/>
        </w:rPr>
        <w:t>in zahlreichen Berufen und zertifizieren</w:t>
      </w:r>
      <w:proofErr w:type="gramEnd"/>
      <w:r w:rsidR="00713E20" w:rsidRPr="0050356A">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8" w:history="1">
        <w:r w:rsidR="00713E20" w:rsidRPr="0050356A">
          <w:rPr>
            <w:rStyle w:val="Hyperlink"/>
            <w:rFonts w:ascii="Arial" w:hAnsi="Arial" w:cs="Arial"/>
            <w:i/>
            <w:iCs/>
            <w:sz w:val="18"/>
            <w:szCs w:val="18"/>
          </w:rPr>
          <w:t>www.tuv.com</w:t>
        </w:r>
      </w:hyperlink>
    </w:p>
    <w:p w14:paraId="42773871" w14:textId="77777777" w:rsidR="00C6773C" w:rsidRPr="0050356A" w:rsidRDefault="00C6773C" w:rsidP="0050356A">
      <w:pPr>
        <w:tabs>
          <w:tab w:val="left" w:pos="5670"/>
        </w:tabs>
        <w:autoSpaceDE w:val="0"/>
        <w:autoSpaceDN w:val="0"/>
        <w:adjustRightInd w:val="0"/>
        <w:spacing w:after="0" w:line="360" w:lineRule="auto"/>
        <w:rPr>
          <w:rFonts w:ascii="Arial" w:hAnsi="Arial" w:cs="Arial"/>
          <w:i/>
          <w:sz w:val="18"/>
          <w:szCs w:val="18"/>
        </w:rPr>
      </w:pPr>
      <w:r w:rsidRPr="0050356A">
        <w:rPr>
          <w:rFonts w:ascii="Arial" w:hAnsi="Arial" w:cs="Arial"/>
          <w:i/>
          <w:sz w:val="18"/>
          <w:szCs w:val="18"/>
        </w:rPr>
        <w:t>________________________________________________________________________</w:t>
      </w:r>
    </w:p>
    <w:p w14:paraId="7D377B3E" w14:textId="77777777" w:rsidR="00713E20" w:rsidRPr="0050356A" w:rsidRDefault="00713E20" w:rsidP="0050356A">
      <w:pPr>
        <w:spacing w:line="360" w:lineRule="auto"/>
        <w:contextualSpacing/>
        <w:rPr>
          <w:rFonts w:ascii="Arial" w:hAnsi="Arial" w:cs="Arial"/>
          <w:sz w:val="20"/>
          <w:szCs w:val="20"/>
        </w:rPr>
      </w:pPr>
      <w:r w:rsidRPr="0050356A">
        <w:rPr>
          <w:rFonts w:ascii="Arial" w:hAnsi="Arial" w:cs="Arial"/>
          <w:sz w:val="20"/>
          <w:szCs w:val="20"/>
        </w:rPr>
        <w:t xml:space="preserve">Ihr Ansprechpartner für redaktionelle Fragen: </w:t>
      </w:r>
    </w:p>
    <w:p w14:paraId="547FE98A" w14:textId="77777777" w:rsidR="00713E20" w:rsidRPr="0050356A" w:rsidRDefault="00713E20" w:rsidP="0050356A">
      <w:pPr>
        <w:spacing w:line="360" w:lineRule="auto"/>
        <w:contextualSpacing/>
        <w:rPr>
          <w:rFonts w:ascii="Arial" w:hAnsi="Arial" w:cs="Arial"/>
          <w:sz w:val="20"/>
          <w:szCs w:val="20"/>
        </w:rPr>
      </w:pPr>
      <w:r w:rsidRPr="0050356A">
        <w:rPr>
          <w:rFonts w:ascii="Arial" w:hAnsi="Arial" w:cs="Arial"/>
          <w:sz w:val="20"/>
          <w:szCs w:val="20"/>
        </w:rPr>
        <w:t>Pressestelle TÜV Rheinland, Tel.: +49 2 21/8 06-21 48</w:t>
      </w:r>
    </w:p>
    <w:p w14:paraId="09F2211E" w14:textId="4A2F4240" w:rsidR="003C722D" w:rsidRPr="0050356A" w:rsidRDefault="00713E20" w:rsidP="0050356A">
      <w:pPr>
        <w:widowControl w:val="0"/>
        <w:spacing w:after="0" w:line="360" w:lineRule="auto"/>
        <w:contextualSpacing/>
        <w:rPr>
          <w:rFonts w:ascii="Arial" w:hAnsi="Arial" w:cs="Arial"/>
          <w:sz w:val="18"/>
          <w:szCs w:val="18"/>
        </w:rPr>
      </w:pPr>
      <w:r w:rsidRPr="0050356A">
        <w:rPr>
          <w:rFonts w:ascii="Arial" w:hAnsi="Arial" w:cs="Arial"/>
          <w:sz w:val="20"/>
          <w:szCs w:val="20"/>
        </w:rPr>
        <w:t xml:space="preserve">Die aktuellen Presseinformationen sowie themenbezogene Fotos und Videos erhalten Sie auch per E-Mail über </w:t>
      </w:r>
      <w:hyperlink r:id="rId9" w:history="1">
        <w:r w:rsidRPr="0050356A">
          <w:rPr>
            <w:rStyle w:val="Hyperlink"/>
            <w:rFonts w:ascii="Arial" w:hAnsi="Arial" w:cs="Arial"/>
            <w:sz w:val="20"/>
            <w:szCs w:val="20"/>
          </w:rPr>
          <w:t>contact@press.tuv.com</w:t>
        </w:r>
      </w:hyperlink>
      <w:r w:rsidRPr="0050356A">
        <w:rPr>
          <w:rFonts w:ascii="Arial" w:hAnsi="Arial" w:cs="Arial"/>
          <w:sz w:val="20"/>
          <w:szCs w:val="20"/>
        </w:rPr>
        <w:t xml:space="preserve"> sowie im Internet: </w:t>
      </w:r>
      <w:hyperlink r:id="rId10" w:history="1">
        <w:r w:rsidRPr="0050356A">
          <w:rPr>
            <w:rStyle w:val="Hyperlink"/>
            <w:rFonts w:ascii="Arial" w:hAnsi="Arial" w:cs="Arial"/>
            <w:sz w:val="20"/>
            <w:szCs w:val="20"/>
          </w:rPr>
          <w:t>www.tuv.com/presse</w:t>
        </w:r>
      </w:hyperlink>
      <w:r w:rsidRPr="0050356A">
        <w:rPr>
          <w:rFonts w:ascii="Arial" w:hAnsi="Arial" w:cs="Arial"/>
          <w:sz w:val="20"/>
          <w:szCs w:val="20"/>
        </w:rPr>
        <w:t xml:space="preserve"> und </w:t>
      </w:r>
      <w:hyperlink r:id="rId11" w:history="1">
        <w:r w:rsidRPr="0050356A">
          <w:rPr>
            <w:rStyle w:val="Hyperlink"/>
            <w:rFonts w:ascii="Arial" w:hAnsi="Arial" w:cs="Arial"/>
            <w:sz w:val="20"/>
            <w:szCs w:val="20"/>
          </w:rPr>
          <w:t>www.twitter.com/tuvcom_presse</w:t>
        </w:r>
      </w:hyperlink>
    </w:p>
    <w:sectPr w:rsidR="003C722D" w:rsidRPr="0050356A" w:rsidSect="003C722D">
      <w:headerReference w:type="default" r:id="rId12"/>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40303443"/>
    <w:multiLevelType w:val="hybridMultilevel"/>
    <w:tmpl w:val="F1ACFAFE"/>
    <w:lvl w:ilvl="0" w:tplc="040C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num w:numId="1" w16cid:durableId="819149759">
    <w:abstractNumId w:val="1"/>
  </w:num>
  <w:num w:numId="2" w16cid:durableId="785777319">
    <w:abstractNumId w:val="0"/>
  </w:num>
  <w:num w:numId="3" w16cid:durableId="1123619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6533A"/>
    <w:rsid w:val="000A4B26"/>
    <w:rsid w:val="000E1C4C"/>
    <w:rsid w:val="000F2434"/>
    <w:rsid w:val="001073FA"/>
    <w:rsid w:val="00124089"/>
    <w:rsid w:val="00150E4E"/>
    <w:rsid w:val="001644D0"/>
    <w:rsid w:val="00181C2F"/>
    <w:rsid w:val="001D18D1"/>
    <w:rsid w:val="001E4007"/>
    <w:rsid w:val="00201861"/>
    <w:rsid w:val="002207B1"/>
    <w:rsid w:val="00233554"/>
    <w:rsid w:val="0025449E"/>
    <w:rsid w:val="00264F71"/>
    <w:rsid w:val="002977DD"/>
    <w:rsid w:val="002B4D4D"/>
    <w:rsid w:val="002D64D8"/>
    <w:rsid w:val="002D665E"/>
    <w:rsid w:val="003222D6"/>
    <w:rsid w:val="00330B36"/>
    <w:rsid w:val="00356470"/>
    <w:rsid w:val="0035674C"/>
    <w:rsid w:val="003C722D"/>
    <w:rsid w:val="003E70CB"/>
    <w:rsid w:val="00431F6C"/>
    <w:rsid w:val="004869D2"/>
    <w:rsid w:val="004E0AFA"/>
    <w:rsid w:val="00500879"/>
    <w:rsid w:val="005023C9"/>
    <w:rsid w:val="0050356A"/>
    <w:rsid w:val="0058780D"/>
    <w:rsid w:val="005B2628"/>
    <w:rsid w:val="005C2271"/>
    <w:rsid w:val="005C39AF"/>
    <w:rsid w:val="005C4A8F"/>
    <w:rsid w:val="005E2177"/>
    <w:rsid w:val="00623A9C"/>
    <w:rsid w:val="00624234"/>
    <w:rsid w:val="00637FFE"/>
    <w:rsid w:val="006537E3"/>
    <w:rsid w:val="006A4796"/>
    <w:rsid w:val="00707004"/>
    <w:rsid w:val="00713E20"/>
    <w:rsid w:val="0071494C"/>
    <w:rsid w:val="00754CEE"/>
    <w:rsid w:val="007B71E9"/>
    <w:rsid w:val="007D0597"/>
    <w:rsid w:val="0085176A"/>
    <w:rsid w:val="00870E2A"/>
    <w:rsid w:val="008B2C5A"/>
    <w:rsid w:val="008C4EEA"/>
    <w:rsid w:val="008D7592"/>
    <w:rsid w:val="008E1EEC"/>
    <w:rsid w:val="008E29CA"/>
    <w:rsid w:val="008E3E1F"/>
    <w:rsid w:val="00910393"/>
    <w:rsid w:val="00914B2B"/>
    <w:rsid w:val="00965509"/>
    <w:rsid w:val="00972400"/>
    <w:rsid w:val="009D404E"/>
    <w:rsid w:val="009F1131"/>
    <w:rsid w:val="009F784D"/>
    <w:rsid w:val="00A14313"/>
    <w:rsid w:val="00A836B2"/>
    <w:rsid w:val="00A84790"/>
    <w:rsid w:val="00A96D76"/>
    <w:rsid w:val="00AB5977"/>
    <w:rsid w:val="00AC0CA7"/>
    <w:rsid w:val="00B14C97"/>
    <w:rsid w:val="00B45F80"/>
    <w:rsid w:val="00B7224A"/>
    <w:rsid w:val="00B73198"/>
    <w:rsid w:val="00BB1D8B"/>
    <w:rsid w:val="00C159DC"/>
    <w:rsid w:val="00C23770"/>
    <w:rsid w:val="00C45E98"/>
    <w:rsid w:val="00C56CF8"/>
    <w:rsid w:val="00C6773C"/>
    <w:rsid w:val="00C81B8A"/>
    <w:rsid w:val="00C941AB"/>
    <w:rsid w:val="00CB2873"/>
    <w:rsid w:val="00D5228C"/>
    <w:rsid w:val="00D60257"/>
    <w:rsid w:val="00D72123"/>
    <w:rsid w:val="00D76496"/>
    <w:rsid w:val="00DA3D25"/>
    <w:rsid w:val="00E45661"/>
    <w:rsid w:val="00E65A37"/>
    <w:rsid w:val="00E73281"/>
    <w:rsid w:val="00EA487A"/>
    <w:rsid w:val="00EC10CC"/>
    <w:rsid w:val="00EE100B"/>
    <w:rsid w:val="00F17684"/>
    <w:rsid w:val="00F64495"/>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tuvcom_presse" TargetMode="External"/><Relationship Id="rId5" Type="http://schemas.openxmlformats.org/officeDocument/2006/relationships/webSettings" Target="webSettings.xml"/><Relationship Id="rId10" Type="http://schemas.openxmlformats.org/officeDocument/2006/relationships/hyperlink" Target="http://www.tuv.com/presse" TargetMode="External"/><Relationship Id="rId4" Type="http://schemas.openxmlformats.org/officeDocument/2006/relationships/settings" Target="settings.xml"/><Relationship Id="rId9" Type="http://schemas.openxmlformats.org/officeDocument/2006/relationships/hyperlink" Target="mailto:contact@press.tuv.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5148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15</cp:revision>
  <cp:lastPrinted>2017-12-06T08:02:00Z</cp:lastPrinted>
  <dcterms:created xsi:type="dcterms:W3CDTF">2022-08-23T13:43:00Z</dcterms:created>
  <dcterms:modified xsi:type="dcterms:W3CDTF">2024-01-05T11:51:00Z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