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A4F7F" w14:textId="5C5CAB7D" w:rsidR="002A2324" w:rsidRDefault="00365179" w:rsidP="00675705">
      <w:pPr>
        <w:pStyle w:val="berschrift1"/>
        <w:numPr>
          <w:ilvl w:val="0"/>
          <w:numId w:val="0"/>
        </w:numPr>
        <w:tabs>
          <w:tab w:val="center" w:pos="4536"/>
          <w:tab w:val="right" w:pos="9072"/>
        </w:tabs>
        <w:spacing w:before="0" w:after="0" w:line="360" w:lineRule="auto"/>
        <w:ind w:right="-2"/>
        <w:rPr>
          <w:rFonts w:cs="Arial"/>
          <w:sz w:val="20"/>
          <w:szCs w:val="20"/>
          <w:u w:val="single"/>
        </w:rPr>
      </w:pPr>
      <w:r>
        <w:rPr>
          <w:rFonts w:cs="Arial"/>
          <w:sz w:val="20"/>
          <w:szCs w:val="20"/>
          <w:u w:val="single"/>
        </w:rPr>
        <w:t xml:space="preserve">Rechtskräftig: </w:t>
      </w:r>
      <w:r w:rsidR="002A2324">
        <w:rPr>
          <w:rFonts w:cs="Arial"/>
          <w:sz w:val="20"/>
          <w:szCs w:val="20"/>
          <w:u w:val="single"/>
        </w:rPr>
        <w:t>Übergangsf</w:t>
      </w:r>
      <w:r w:rsidR="002A2324" w:rsidRPr="002A2324">
        <w:rPr>
          <w:rFonts w:cs="Arial"/>
          <w:sz w:val="20"/>
          <w:szCs w:val="20"/>
          <w:u w:val="single"/>
        </w:rPr>
        <w:t xml:space="preserve">risten </w:t>
      </w:r>
      <w:r w:rsidR="002A2324">
        <w:rPr>
          <w:rFonts w:cs="Arial"/>
          <w:sz w:val="20"/>
          <w:szCs w:val="20"/>
          <w:u w:val="single"/>
        </w:rPr>
        <w:t xml:space="preserve">für Zulassung von </w:t>
      </w:r>
      <w:r w:rsidR="002A2324" w:rsidRPr="002A2324">
        <w:rPr>
          <w:rFonts w:cs="Arial"/>
          <w:sz w:val="20"/>
          <w:szCs w:val="20"/>
          <w:u w:val="single"/>
        </w:rPr>
        <w:t>Medizinprodukte</w:t>
      </w:r>
      <w:r w:rsidR="002A2324">
        <w:rPr>
          <w:rFonts w:cs="Arial"/>
          <w:sz w:val="20"/>
          <w:szCs w:val="20"/>
          <w:u w:val="single"/>
        </w:rPr>
        <w:t>n verlängert</w:t>
      </w:r>
    </w:p>
    <w:p w14:paraId="01889F9F" w14:textId="77777777" w:rsidR="002A2324" w:rsidRPr="002A2324" w:rsidRDefault="00D15E78" w:rsidP="002A2324">
      <w:pPr>
        <w:pStyle w:val="berschrift1"/>
        <w:numPr>
          <w:ilvl w:val="0"/>
          <w:numId w:val="0"/>
        </w:numPr>
        <w:tabs>
          <w:tab w:val="center" w:pos="4536"/>
          <w:tab w:val="right" w:pos="9072"/>
        </w:tabs>
        <w:spacing w:before="0" w:after="0" w:line="360" w:lineRule="auto"/>
        <w:ind w:right="-2"/>
        <w:rPr>
          <w:rFonts w:cs="Arial"/>
          <w:b w:val="0"/>
          <w:sz w:val="20"/>
          <w:szCs w:val="20"/>
        </w:rPr>
      </w:pPr>
      <w:r>
        <w:rPr>
          <w:rFonts w:cs="Arial"/>
          <w:b w:val="0"/>
          <w:sz w:val="20"/>
          <w:szCs w:val="20"/>
        </w:rPr>
        <w:t xml:space="preserve">TÜV Rheinland: </w:t>
      </w:r>
      <w:r w:rsidR="002A2324" w:rsidRPr="002A2324">
        <w:rPr>
          <w:rFonts w:cs="Arial"/>
          <w:b w:val="0"/>
          <w:sz w:val="20"/>
          <w:szCs w:val="20"/>
        </w:rPr>
        <w:t>Hersteller von Medizinprodukten</w:t>
      </w:r>
      <w:r w:rsidR="002A2324">
        <w:rPr>
          <w:rFonts w:cs="Arial"/>
          <w:b w:val="0"/>
          <w:sz w:val="20"/>
          <w:szCs w:val="20"/>
        </w:rPr>
        <w:t xml:space="preserve"> sollten dennoch schnell handeln / Hohe Standards </w:t>
      </w:r>
      <w:r w:rsidR="00295693">
        <w:rPr>
          <w:rFonts w:cs="Arial"/>
          <w:b w:val="0"/>
          <w:sz w:val="20"/>
          <w:szCs w:val="20"/>
        </w:rPr>
        <w:t>führen zu mehr Sicherheit, aber auch aufwendigen Zulassungsprozessen</w:t>
      </w:r>
      <w:r w:rsidR="002A2324">
        <w:rPr>
          <w:rFonts w:cs="Arial"/>
          <w:b w:val="0"/>
          <w:sz w:val="20"/>
          <w:szCs w:val="20"/>
        </w:rPr>
        <w:t xml:space="preserve"> </w:t>
      </w:r>
      <w:r w:rsidR="000C3D86">
        <w:rPr>
          <w:rFonts w:cs="Arial"/>
          <w:b w:val="0"/>
          <w:sz w:val="20"/>
          <w:szCs w:val="20"/>
        </w:rPr>
        <w:t xml:space="preserve">/ Informationen unter </w:t>
      </w:r>
      <w:hyperlink r:id="rId11" w:history="1">
        <w:r w:rsidR="000C3D86" w:rsidRPr="005156F8">
          <w:rPr>
            <w:rStyle w:val="Hyperlink"/>
            <w:rFonts w:cs="Arial"/>
            <w:b w:val="0"/>
            <w:sz w:val="20"/>
            <w:szCs w:val="20"/>
          </w:rPr>
          <w:t>www.tuv.com/mdr</w:t>
        </w:r>
      </w:hyperlink>
      <w:r w:rsidR="000C3D86">
        <w:rPr>
          <w:rFonts w:cs="Arial"/>
          <w:b w:val="0"/>
          <w:sz w:val="20"/>
          <w:szCs w:val="20"/>
        </w:rPr>
        <w:t xml:space="preserve"> </w:t>
      </w:r>
    </w:p>
    <w:p w14:paraId="71603A20" w14:textId="77777777" w:rsidR="00D5228C" w:rsidRPr="00D5228C" w:rsidRDefault="00D5228C" w:rsidP="00675705">
      <w:pPr>
        <w:spacing w:after="0" w:line="360" w:lineRule="auto"/>
        <w:ind w:right="-2"/>
        <w:rPr>
          <w:rFonts w:ascii="Arial" w:hAnsi="Arial" w:cs="Arial"/>
          <w:sz w:val="20"/>
          <w:szCs w:val="20"/>
        </w:rPr>
      </w:pPr>
    </w:p>
    <w:p w14:paraId="13A2D3A4" w14:textId="4433488A" w:rsidR="00D15E78" w:rsidRDefault="002A2324" w:rsidP="002A2324">
      <w:pPr>
        <w:spacing w:after="0" w:line="360" w:lineRule="auto"/>
        <w:ind w:right="-2"/>
        <w:rPr>
          <w:rFonts w:ascii="Arial" w:hAnsi="Arial" w:cs="Arial"/>
          <w:sz w:val="20"/>
          <w:szCs w:val="20"/>
        </w:rPr>
      </w:pPr>
      <w:r w:rsidRPr="00442CBE">
        <w:rPr>
          <w:rFonts w:ascii="Arial" w:hAnsi="Arial" w:cs="Arial"/>
          <w:b/>
          <w:sz w:val="20"/>
          <w:szCs w:val="20"/>
        </w:rPr>
        <w:t>Köln</w:t>
      </w:r>
      <w:r w:rsidR="00C6773C" w:rsidRPr="00442CBE">
        <w:rPr>
          <w:rFonts w:ascii="Arial" w:hAnsi="Arial" w:cs="Arial"/>
          <w:b/>
          <w:sz w:val="20"/>
          <w:szCs w:val="20"/>
        </w:rPr>
        <w:t xml:space="preserve">, </w:t>
      </w:r>
      <w:r w:rsidR="006C2606">
        <w:rPr>
          <w:rFonts w:ascii="Arial" w:hAnsi="Arial" w:cs="Arial"/>
          <w:b/>
          <w:sz w:val="20"/>
          <w:szCs w:val="20"/>
        </w:rPr>
        <w:t>20</w:t>
      </w:r>
      <w:bookmarkStart w:id="0" w:name="_GoBack"/>
      <w:bookmarkEnd w:id="0"/>
      <w:r w:rsidR="00D5228C" w:rsidRPr="00442CBE">
        <w:rPr>
          <w:rFonts w:ascii="Arial" w:hAnsi="Arial" w:cs="Arial"/>
          <w:b/>
          <w:sz w:val="20"/>
          <w:szCs w:val="20"/>
        </w:rPr>
        <w:t>.</w:t>
      </w:r>
      <w:r w:rsidR="00C6773C" w:rsidRPr="00442CBE">
        <w:rPr>
          <w:rFonts w:ascii="Arial" w:hAnsi="Arial" w:cs="Arial"/>
          <w:b/>
          <w:sz w:val="20"/>
          <w:szCs w:val="20"/>
        </w:rPr>
        <w:t xml:space="preserve"> </w:t>
      </w:r>
      <w:r w:rsidRPr="00442CBE">
        <w:rPr>
          <w:rFonts w:ascii="Arial" w:hAnsi="Arial" w:cs="Arial"/>
          <w:b/>
          <w:sz w:val="20"/>
          <w:szCs w:val="20"/>
        </w:rPr>
        <w:t>März 2023</w:t>
      </w:r>
      <w:r w:rsidR="00C6773C" w:rsidRPr="00D5228C">
        <w:rPr>
          <w:rFonts w:ascii="Arial" w:hAnsi="Arial" w:cs="Arial"/>
          <w:sz w:val="20"/>
          <w:szCs w:val="20"/>
        </w:rPr>
        <w:t xml:space="preserve">. </w:t>
      </w:r>
      <w:r w:rsidR="001D29C1">
        <w:rPr>
          <w:rFonts w:ascii="Arial" w:hAnsi="Arial" w:cs="Arial"/>
          <w:sz w:val="20"/>
          <w:szCs w:val="20"/>
        </w:rPr>
        <w:t xml:space="preserve">Mit Veröffentlichung im </w:t>
      </w:r>
      <w:r w:rsidR="00B74BB5">
        <w:rPr>
          <w:rFonts w:ascii="Arial" w:hAnsi="Arial" w:cs="Arial"/>
          <w:sz w:val="20"/>
          <w:szCs w:val="20"/>
        </w:rPr>
        <w:t>Amtsblatt der Europäischen Union</w:t>
      </w:r>
      <w:r w:rsidR="001D29C1">
        <w:rPr>
          <w:rFonts w:ascii="Arial" w:hAnsi="Arial" w:cs="Arial"/>
          <w:sz w:val="20"/>
          <w:szCs w:val="20"/>
        </w:rPr>
        <w:t xml:space="preserve"> ist </w:t>
      </w:r>
      <w:r w:rsidR="001D29C1" w:rsidRPr="00442CBE">
        <w:rPr>
          <w:rFonts w:ascii="Arial" w:hAnsi="Arial" w:cs="Arial"/>
          <w:sz w:val="20"/>
          <w:szCs w:val="20"/>
        </w:rPr>
        <w:t xml:space="preserve">heute die </w:t>
      </w:r>
      <w:r w:rsidR="001D29C1">
        <w:rPr>
          <w:rFonts w:ascii="Arial" w:hAnsi="Arial" w:cs="Arial"/>
          <w:sz w:val="20"/>
          <w:szCs w:val="20"/>
        </w:rPr>
        <w:t xml:space="preserve">geänderte </w:t>
      </w:r>
      <w:r w:rsidR="001D29C1" w:rsidRPr="002A2324">
        <w:rPr>
          <w:rFonts w:ascii="Arial" w:hAnsi="Arial" w:cs="Arial"/>
          <w:sz w:val="20"/>
          <w:szCs w:val="20"/>
        </w:rPr>
        <w:t xml:space="preserve">Medizinprodukteverordnung </w:t>
      </w:r>
      <w:r w:rsidR="00D15E78">
        <w:rPr>
          <w:rFonts w:ascii="Arial" w:hAnsi="Arial" w:cs="Arial"/>
          <w:sz w:val="20"/>
          <w:szCs w:val="20"/>
        </w:rPr>
        <w:t xml:space="preserve">(Medical Device Regulation, MDR) </w:t>
      </w:r>
      <w:r w:rsidR="001D29C1">
        <w:rPr>
          <w:rFonts w:ascii="Arial" w:hAnsi="Arial" w:cs="Arial"/>
          <w:sz w:val="20"/>
          <w:szCs w:val="20"/>
        </w:rPr>
        <w:t xml:space="preserve">in der Europäischen Union (EU) in Kraft getreten. Das bedeutet im Kern: </w:t>
      </w:r>
      <w:r>
        <w:rPr>
          <w:rFonts w:ascii="Arial" w:hAnsi="Arial" w:cs="Arial"/>
          <w:sz w:val="20"/>
          <w:szCs w:val="20"/>
        </w:rPr>
        <w:t xml:space="preserve">Hersteller von Medizinprodukten erhalten mehr Zeit, um ihre Produkte </w:t>
      </w:r>
      <w:r w:rsidR="001D29C1">
        <w:rPr>
          <w:rFonts w:ascii="Arial" w:hAnsi="Arial" w:cs="Arial"/>
          <w:sz w:val="20"/>
          <w:szCs w:val="20"/>
        </w:rPr>
        <w:t>auf die</w:t>
      </w:r>
      <w:r w:rsidR="00D15E78">
        <w:rPr>
          <w:rFonts w:ascii="Arial" w:hAnsi="Arial" w:cs="Arial"/>
          <w:sz w:val="20"/>
          <w:szCs w:val="20"/>
        </w:rPr>
        <w:t xml:space="preserve"> neue</w:t>
      </w:r>
      <w:r w:rsidR="001D29C1">
        <w:rPr>
          <w:rFonts w:ascii="Arial" w:hAnsi="Arial" w:cs="Arial"/>
          <w:sz w:val="20"/>
          <w:szCs w:val="20"/>
        </w:rPr>
        <w:t xml:space="preserve"> </w:t>
      </w:r>
      <w:r w:rsidRPr="002A2324">
        <w:rPr>
          <w:rFonts w:ascii="Arial" w:hAnsi="Arial" w:cs="Arial"/>
          <w:sz w:val="20"/>
          <w:szCs w:val="20"/>
        </w:rPr>
        <w:t xml:space="preserve">Medizinprodukteverordnung </w:t>
      </w:r>
      <w:r w:rsidR="001D29C1">
        <w:rPr>
          <w:rFonts w:ascii="Arial" w:hAnsi="Arial" w:cs="Arial"/>
          <w:sz w:val="20"/>
          <w:szCs w:val="20"/>
        </w:rPr>
        <w:t>umzustellen.</w:t>
      </w:r>
      <w:r>
        <w:rPr>
          <w:rFonts w:ascii="Arial" w:hAnsi="Arial" w:cs="Arial"/>
          <w:sz w:val="20"/>
          <w:szCs w:val="20"/>
        </w:rPr>
        <w:t xml:space="preserve"> </w:t>
      </w:r>
      <w:r w:rsidR="001D29C1">
        <w:rPr>
          <w:rFonts w:ascii="Arial" w:hAnsi="Arial" w:cs="Arial"/>
          <w:sz w:val="20"/>
          <w:szCs w:val="20"/>
        </w:rPr>
        <w:t>Die MDR löst die zuvor gültige</w:t>
      </w:r>
      <w:r w:rsidR="00D15E78">
        <w:rPr>
          <w:rFonts w:ascii="Arial" w:hAnsi="Arial" w:cs="Arial"/>
          <w:sz w:val="20"/>
          <w:szCs w:val="20"/>
        </w:rPr>
        <w:t xml:space="preserve"> Medizinprodukterichtlinie (Medical Device Directive, </w:t>
      </w:r>
      <w:r w:rsidR="001D29C1">
        <w:rPr>
          <w:rFonts w:ascii="Arial" w:hAnsi="Arial" w:cs="Arial"/>
          <w:sz w:val="20"/>
          <w:szCs w:val="20"/>
        </w:rPr>
        <w:t>MDD) ab</w:t>
      </w:r>
      <w:r w:rsidR="00D15E78">
        <w:rPr>
          <w:rFonts w:ascii="Arial" w:hAnsi="Arial" w:cs="Arial"/>
          <w:sz w:val="20"/>
          <w:szCs w:val="20"/>
        </w:rPr>
        <w:t xml:space="preserve"> und sieht unter anderem strengere Vorschriften für die Zulassung von Medizinprodukten vor.</w:t>
      </w:r>
      <w:r w:rsidR="000C3D86">
        <w:rPr>
          <w:rFonts w:ascii="Arial" w:hAnsi="Arial" w:cs="Arial"/>
          <w:sz w:val="20"/>
          <w:szCs w:val="20"/>
        </w:rPr>
        <w:t xml:space="preserve"> Ziel ist es, die Sicherheit von </w:t>
      </w:r>
      <w:r w:rsidR="00295693">
        <w:rPr>
          <w:rFonts w:ascii="Arial" w:hAnsi="Arial" w:cs="Arial"/>
          <w:sz w:val="20"/>
          <w:szCs w:val="20"/>
        </w:rPr>
        <w:t xml:space="preserve">Medizinprodukten und damit von </w:t>
      </w:r>
      <w:r w:rsidR="000C3D86">
        <w:rPr>
          <w:rFonts w:ascii="Arial" w:hAnsi="Arial" w:cs="Arial"/>
          <w:sz w:val="20"/>
          <w:szCs w:val="20"/>
        </w:rPr>
        <w:t>Patientinnen und Patienten zu erhöhen.</w:t>
      </w:r>
    </w:p>
    <w:p w14:paraId="689DFCE3" w14:textId="77777777" w:rsidR="001D29C1" w:rsidRDefault="00D15E78" w:rsidP="002A2324">
      <w:pPr>
        <w:spacing w:after="0" w:line="360" w:lineRule="auto"/>
        <w:ind w:right="-2"/>
        <w:rPr>
          <w:rFonts w:ascii="Arial" w:hAnsi="Arial" w:cs="Arial"/>
          <w:sz w:val="20"/>
          <w:szCs w:val="20"/>
        </w:rPr>
      </w:pPr>
      <w:r>
        <w:rPr>
          <w:rFonts w:ascii="Arial" w:hAnsi="Arial" w:cs="Arial"/>
          <w:sz w:val="20"/>
          <w:szCs w:val="20"/>
        </w:rPr>
        <w:t xml:space="preserve"> </w:t>
      </w:r>
    </w:p>
    <w:p w14:paraId="0FFB8728" w14:textId="3D2B3786" w:rsidR="008762B5" w:rsidRDefault="00D15E78" w:rsidP="002A2324">
      <w:pPr>
        <w:spacing w:after="0" w:line="360" w:lineRule="auto"/>
        <w:ind w:right="-2"/>
        <w:rPr>
          <w:rFonts w:ascii="Arial" w:hAnsi="Arial" w:cs="Arial"/>
          <w:sz w:val="20"/>
          <w:szCs w:val="20"/>
        </w:rPr>
      </w:pPr>
      <w:r>
        <w:rPr>
          <w:rFonts w:ascii="Arial" w:hAnsi="Arial" w:cs="Arial"/>
          <w:sz w:val="20"/>
          <w:szCs w:val="20"/>
        </w:rPr>
        <w:t xml:space="preserve">Durch die nun gültige geänderte MDR </w:t>
      </w:r>
      <w:r w:rsidR="001D29C1">
        <w:rPr>
          <w:rFonts w:ascii="Arial" w:hAnsi="Arial" w:cs="Arial"/>
          <w:sz w:val="20"/>
          <w:szCs w:val="20"/>
        </w:rPr>
        <w:t xml:space="preserve">haben </w:t>
      </w:r>
      <w:r w:rsidR="008762B5">
        <w:rPr>
          <w:rFonts w:ascii="Arial" w:hAnsi="Arial" w:cs="Arial"/>
          <w:sz w:val="20"/>
          <w:szCs w:val="20"/>
        </w:rPr>
        <w:t xml:space="preserve">Hersteller von Medizinprodukten bis </w:t>
      </w:r>
      <w:r w:rsidR="008762B5" w:rsidRPr="004462BB">
        <w:rPr>
          <w:rFonts w:ascii="Arial" w:hAnsi="Arial" w:cs="Arial"/>
          <w:sz w:val="20"/>
          <w:szCs w:val="20"/>
        </w:rPr>
        <w:t xml:space="preserve">zu </w:t>
      </w:r>
      <w:r w:rsidR="004F6E9F" w:rsidRPr="004462BB">
        <w:rPr>
          <w:rFonts w:ascii="Arial" w:hAnsi="Arial" w:cs="Arial"/>
          <w:sz w:val="20"/>
          <w:szCs w:val="20"/>
        </w:rPr>
        <w:t>vier</w:t>
      </w:r>
      <w:r w:rsidR="008762B5" w:rsidRPr="004462BB">
        <w:rPr>
          <w:rFonts w:ascii="Arial" w:hAnsi="Arial" w:cs="Arial"/>
          <w:sz w:val="20"/>
          <w:szCs w:val="20"/>
        </w:rPr>
        <w:t xml:space="preserve"> Jahre </w:t>
      </w:r>
      <w:r w:rsidR="008762B5">
        <w:rPr>
          <w:rFonts w:ascii="Arial" w:hAnsi="Arial" w:cs="Arial"/>
          <w:sz w:val="20"/>
          <w:szCs w:val="20"/>
        </w:rPr>
        <w:t xml:space="preserve">mehr Zeit, ihre Produkte auf die neue Verordnung umzustellen als ursprünglich </w:t>
      </w:r>
      <w:r w:rsidR="001D29C1">
        <w:rPr>
          <w:rFonts w:ascii="Arial" w:hAnsi="Arial" w:cs="Arial"/>
          <w:sz w:val="20"/>
          <w:szCs w:val="20"/>
        </w:rPr>
        <w:t xml:space="preserve">von der EU-Kommission </w:t>
      </w:r>
      <w:r w:rsidR="008762B5">
        <w:rPr>
          <w:rFonts w:ascii="Arial" w:hAnsi="Arial" w:cs="Arial"/>
          <w:sz w:val="20"/>
          <w:szCs w:val="20"/>
        </w:rPr>
        <w:t xml:space="preserve">vorgesehen. </w:t>
      </w:r>
      <w:r>
        <w:rPr>
          <w:rFonts w:ascii="Arial" w:hAnsi="Arial" w:cs="Arial"/>
          <w:sz w:val="20"/>
          <w:szCs w:val="20"/>
        </w:rPr>
        <w:t>Hintergrund sind drohende Engpässe bei Medizinprodukten</w:t>
      </w:r>
      <w:r w:rsidRPr="004462BB">
        <w:rPr>
          <w:rFonts w:ascii="Arial" w:hAnsi="Arial" w:cs="Arial"/>
          <w:sz w:val="20"/>
          <w:szCs w:val="20"/>
        </w:rPr>
        <w:t xml:space="preserve">, da bis zum </w:t>
      </w:r>
      <w:r w:rsidR="007B1C57" w:rsidRPr="004462BB">
        <w:rPr>
          <w:rFonts w:ascii="Arial" w:hAnsi="Arial" w:cs="Arial"/>
          <w:sz w:val="20"/>
          <w:szCs w:val="20"/>
        </w:rPr>
        <w:t xml:space="preserve">zunächst </w:t>
      </w:r>
      <w:r w:rsidRPr="004462BB">
        <w:rPr>
          <w:rFonts w:ascii="Arial" w:hAnsi="Arial" w:cs="Arial"/>
          <w:sz w:val="20"/>
          <w:szCs w:val="20"/>
        </w:rPr>
        <w:t xml:space="preserve">vorgesehenen Termin </w:t>
      </w:r>
      <w:r w:rsidR="004F6E9F" w:rsidRPr="004462BB">
        <w:rPr>
          <w:rFonts w:ascii="Arial" w:hAnsi="Arial" w:cs="Arial"/>
          <w:sz w:val="20"/>
          <w:szCs w:val="20"/>
        </w:rPr>
        <w:t xml:space="preserve">im Mai 2024 </w:t>
      </w:r>
      <w:r w:rsidRPr="004462BB">
        <w:rPr>
          <w:rFonts w:ascii="Arial" w:hAnsi="Arial" w:cs="Arial"/>
          <w:sz w:val="20"/>
          <w:szCs w:val="20"/>
        </w:rPr>
        <w:t xml:space="preserve">nur </w:t>
      </w:r>
      <w:r>
        <w:rPr>
          <w:rFonts w:ascii="Arial" w:hAnsi="Arial" w:cs="Arial"/>
          <w:sz w:val="20"/>
          <w:szCs w:val="20"/>
        </w:rPr>
        <w:t xml:space="preserve">ein Teil der bisher in der EU verfügbaren Medizinprodukte weiterhin eine Zulassung gehabt hätte. </w:t>
      </w:r>
      <w:r w:rsidR="004F6E9F" w:rsidRPr="004462BB">
        <w:rPr>
          <w:rFonts w:ascii="Arial" w:hAnsi="Arial" w:cs="Arial"/>
          <w:sz w:val="20"/>
          <w:szCs w:val="20"/>
        </w:rPr>
        <w:t xml:space="preserve">So waren im Oktober 2022 von </w:t>
      </w:r>
      <w:r w:rsidR="004462BB" w:rsidRPr="004462BB">
        <w:rPr>
          <w:rFonts w:ascii="Arial" w:hAnsi="Arial" w:cs="Arial"/>
          <w:sz w:val="20"/>
          <w:szCs w:val="20"/>
        </w:rPr>
        <w:t>rund</w:t>
      </w:r>
      <w:r w:rsidR="004F6E9F" w:rsidRPr="004462BB">
        <w:rPr>
          <w:rFonts w:ascii="Arial" w:hAnsi="Arial" w:cs="Arial"/>
          <w:sz w:val="20"/>
          <w:szCs w:val="20"/>
        </w:rPr>
        <w:t xml:space="preserve"> 21</w:t>
      </w:r>
      <w:r w:rsidR="004462BB" w:rsidRPr="004462BB">
        <w:rPr>
          <w:rFonts w:ascii="Arial" w:hAnsi="Arial" w:cs="Arial"/>
          <w:sz w:val="20"/>
          <w:szCs w:val="20"/>
        </w:rPr>
        <w:t>.</w:t>
      </w:r>
      <w:r w:rsidR="004F6E9F" w:rsidRPr="004462BB">
        <w:rPr>
          <w:rFonts w:ascii="Arial" w:hAnsi="Arial" w:cs="Arial"/>
          <w:sz w:val="20"/>
          <w:szCs w:val="20"/>
        </w:rPr>
        <w:t xml:space="preserve">000 in der EU benötigten Zertifikaten </w:t>
      </w:r>
      <w:r w:rsidR="004462BB">
        <w:rPr>
          <w:rFonts w:ascii="Arial" w:hAnsi="Arial" w:cs="Arial"/>
          <w:sz w:val="20"/>
          <w:szCs w:val="20"/>
        </w:rPr>
        <w:t>erst</w:t>
      </w:r>
      <w:r w:rsidR="004F6E9F" w:rsidRPr="004462BB">
        <w:rPr>
          <w:rFonts w:ascii="Arial" w:hAnsi="Arial" w:cs="Arial"/>
          <w:sz w:val="20"/>
          <w:szCs w:val="20"/>
        </w:rPr>
        <w:t xml:space="preserve"> etwa 1</w:t>
      </w:r>
      <w:r w:rsidR="004462BB" w:rsidRPr="004462BB">
        <w:rPr>
          <w:rFonts w:ascii="Arial" w:hAnsi="Arial" w:cs="Arial"/>
          <w:sz w:val="20"/>
          <w:szCs w:val="20"/>
        </w:rPr>
        <w:t>.</w:t>
      </w:r>
      <w:r w:rsidR="004F6E9F" w:rsidRPr="004462BB">
        <w:rPr>
          <w:rFonts w:ascii="Arial" w:hAnsi="Arial" w:cs="Arial"/>
          <w:sz w:val="20"/>
          <w:szCs w:val="20"/>
        </w:rPr>
        <w:t xml:space="preserve">900 auf die neue Verordnung ausgestellt. </w:t>
      </w:r>
      <w:r w:rsidR="008762B5">
        <w:rPr>
          <w:rFonts w:ascii="Arial" w:hAnsi="Arial" w:cs="Arial"/>
          <w:sz w:val="20"/>
          <w:szCs w:val="20"/>
        </w:rPr>
        <w:t>Die Länge der Übergangsfrist richtet sich nach der Risikoklasse. Im Einzelnen gelten folgende Fristen:</w:t>
      </w:r>
    </w:p>
    <w:p w14:paraId="3F7CB238" w14:textId="77777777" w:rsidR="008762B5" w:rsidRPr="008762B5" w:rsidRDefault="008762B5" w:rsidP="002A2324">
      <w:pPr>
        <w:spacing w:after="0" w:line="360" w:lineRule="auto"/>
        <w:ind w:right="-2"/>
        <w:rPr>
          <w:rFonts w:ascii="Arial" w:hAnsi="Arial" w:cs="Arial"/>
          <w:sz w:val="20"/>
          <w:szCs w:val="20"/>
        </w:rPr>
      </w:pPr>
    </w:p>
    <w:p w14:paraId="2DCDDA06" w14:textId="77777777" w:rsidR="008762B5" w:rsidRPr="008762B5" w:rsidRDefault="008762B5" w:rsidP="008762B5">
      <w:pPr>
        <w:pStyle w:val="Listenabsatz"/>
        <w:numPr>
          <w:ilvl w:val="0"/>
          <w:numId w:val="5"/>
        </w:numPr>
        <w:spacing w:after="0" w:line="360" w:lineRule="auto"/>
        <w:ind w:right="-2"/>
        <w:contextualSpacing w:val="0"/>
        <w:rPr>
          <w:rFonts w:ascii="Arial" w:hAnsi="Arial" w:cs="Arial"/>
          <w:sz w:val="20"/>
          <w:szCs w:val="20"/>
        </w:rPr>
      </w:pPr>
      <w:r w:rsidRPr="008762B5">
        <w:rPr>
          <w:rFonts w:ascii="Arial" w:hAnsi="Arial" w:cs="Arial"/>
          <w:sz w:val="20"/>
          <w:szCs w:val="20"/>
        </w:rPr>
        <w:t>26. Mai 2026: Individuell angefertigt</w:t>
      </w:r>
      <w:r w:rsidR="001D29C1">
        <w:rPr>
          <w:rFonts w:ascii="Arial" w:hAnsi="Arial" w:cs="Arial"/>
          <w:sz w:val="20"/>
          <w:szCs w:val="20"/>
        </w:rPr>
        <w:t>e</w:t>
      </w:r>
      <w:r w:rsidRPr="008762B5">
        <w:rPr>
          <w:rFonts w:ascii="Arial" w:hAnsi="Arial" w:cs="Arial"/>
          <w:sz w:val="20"/>
          <w:szCs w:val="20"/>
        </w:rPr>
        <w:t xml:space="preserve"> Medizinprodukte (Klasse III) </w:t>
      </w:r>
    </w:p>
    <w:p w14:paraId="4D31DD30" w14:textId="53D15232" w:rsidR="008762B5" w:rsidRPr="008762B5" w:rsidRDefault="008762B5" w:rsidP="008762B5">
      <w:pPr>
        <w:pStyle w:val="Listenabsatz"/>
        <w:numPr>
          <w:ilvl w:val="0"/>
          <w:numId w:val="5"/>
        </w:numPr>
        <w:spacing w:after="0" w:line="360" w:lineRule="auto"/>
        <w:ind w:right="-2"/>
        <w:contextualSpacing w:val="0"/>
        <w:rPr>
          <w:rFonts w:ascii="Arial" w:hAnsi="Arial" w:cs="Arial"/>
          <w:sz w:val="20"/>
          <w:szCs w:val="20"/>
        </w:rPr>
      </w:pPr>
      <w:r w:rsidRPr="008762B5">
        <w:rPr>
          <w:rFonts w:ascii="Arial" w:hAnsi="Arial" w:cs="Arial"/>
          <w:sz w:val="20"/>
          <w:szCs w:val="20"/>
        </w:rPr>
        <w:t xml:space="preserve">31. Dezember 2027: </w:t>
      </w:r>
      <w:r w:rsidR="004F6E9F">
        <w:rPr>
          <w:rFonts w:ascii="Arial" w:hAnsi="Arial" w:cs="Arial"/>
          <w:sz w:val="20"/>
          <w:szCs w:val="20"/>
        </w:rPr>
        <w:t>Risikoreichere Medizinprodukte (</w:t>
      </w:r>
      <w:r w:rsidRPr="008762B5">
        <w:rPr>
          <w:rFonts w:ascii="Arial" w:hAnsi="Arial" w:cs="Arial"/>
          <w:sz w:val="20"/>
          <w:szCs w:val="20"/>
        </w:rPr>
        <w:t>nicht freigestellte Implantate der Klasse IIb und Medizinprodukte der Klasse III</w:t>
      </w:r>
      <w:r w:rsidR="004F6E9F">
        <w:rPr>
          <w:rFonts w:ascii="Arial" w:hAnsi="Arial" w:cs="Arial"/>
          <w:sz w:val="20"/>
          <w:szCs w:val="20"/>
        </w:rPr>
        <w:t>)</w:t>
      </w:r>
    </w:p>
    <w:p w14:paraId="0CFF5F72" w14:textId="18F8079E" w:rsidR="008762B5" w:rsidRPr="008762B5" w:rsidRDefault="008762B5" w:rsidP="008762B5">
      <w:pPr>
        <w:pStyle w:val="Listenabsatz"/>
        <w:numPr>
          <w:ilvl w:val="0"/>
          <w:numId w:val="5"/>
        </w:numPr>
        <w:spacing w:after="0" w:line="360" w:lineRule="auto"/>
        <w:ind w:right="-2"/>
        <w:contextualSpacing w:val="0"/>
        <w:rPr>
          <w:rFonts w:ascii="Arial" w:hAnsi="Arial" w:cs="Arial"/>
          <w:sz w:val="20"/>
          <w:szCs w:val="20"/>
        </w:rPr>
      </w:pPr>
      <w:r w:rsidRPr="008762B5">
        <w:rPr>
          <w:rFonts w:ascii="Arial" w:hAnsi="Arial" w:cs="Arial"/>
          <w:sz w:val="20"/>
          <w:szCs w:val="20"/>
        </w:rPr>
        <w:t>31. Dezember 2028: Medizinprodukte mit geringem Risiko</w:t>
      </w:r>
      <w:r w:rsidR="004F6E9F">
        <w:rPr>
          <w:rFonts w:ascii="Arial" w:hAnsi="Arial" w:cs="Arial"/>
          <w:sz w:val="20"/>
          <w:szCs w:val="20"/>
        </w:rPr>
        <w:t xml:space="preserve"> (Klasse IIa, Ir, Im, Is)</w:t>
      </w:r>
    </w:p>
    <w:p w14:paraId="3BFD4632" w14:textId="77777777" w:rsidR="002A2324" w:rsidRDefault="002A2324" w:rsidP="002A2324">
      <w:pPr>
        <w:spacing w:after="0" w:line="360" w:lineRule="auto"/>
        <w:ind w:right="-2"/>
        <w:rPr>
          <w:rFonts w:ascii="Arial" w:hAnsi="Arial" w:cs="Arial"/>
          <w:sz w:val="20"/>
          <w:szCs w:val="20"/>
        </w:rPr>
      </w:pPr>
    </w:p>
    <w:p w14:paraId="7E7AC553" w14:textId="75C3D45C" w:rsidR="008762B5" w:rsidRDefault="001D29C1" w:rsidP="001D29C1">
      <w:pPr>
        <w:spacing w:after="0" w:line="360" w:lineRule="auto"/>
        <w:ind w:right="-2"/>
        <w:rPr>
          <w:rFonts w:ascii="Arial" w:hAnsi="Arial" w:cs="Arial"/>
          <w:sz w:val="20"/>
          <w:szCs w:val="20"/>
        </w:rPr>
      </w:pPr>
      <w:r w:rsidRPr="00D15E78">
        <w:rPr>
          <w:rFonts w:ascii="Arial" w:hAnsi="Arial" w:cs="Arial"/>
          <w:sz w:val="20"/>
          <w:szCs w:val="20"/>
        </w:rPr>
        <w:t xml:space="preserve">Nach Einschätzung von Marc Engelhardt, </w:t>
      </w:r>
      <w:r w:rsidR="004F6E9F">
        <w:rPr>
          <w:rFonts w:ascii="Arial" w:hAnsi="Arial" w:cs="Arial"/>
          <w:sz w:val="20"/>
          <w:szCs w:val="20"/>
        </w:rPr>
        <w:t>Leiter des Zertifizierungsbüros für</w:t>
      </w:r>
      <w:r w:rsidRPr="00D15E78">
        <w:rPr>
          <w:rFonts w:ascii="Arial" w:hAnsi="Arial" w:cs="Arial"/>
          <w:sz w:val="20"/>
          <w:szCs w:val="20"/>
        </w:rPr>
        <w:t xml:space="preserve"> Medizinprodukten und In-Vitro-Diagnostika (IVD) </w:t>
      </w:r>
      <w:r w:rsidR="004F6E9F">
        <w:rPr>
          <w:rFonts w:ascii="Arial" w:hAnsi="Arial" w:cs="Arial"/>
          <w:sz w:val="20"/>
          <w:szCs w:val="20"/>
        </w:rPr>
        <w:t>bei TÜV Rheinland</w:t>
      </w:r>
      <w:r w:rsidRPr="00D15E78">
        <w:rPr>
          <w:rFonts w:ascii="Arial" w:hAnsi="Arial" w:cs="Arial"/>
          <w:sz w:val="20"/>
          <w:szCs w:val="20"/>
        </w:rPr>
        <w:t xml:space="preserve">, </w:t>
      </w:r>
      <w:r w:rsidR="00295693">
        <w:rPr>
          <w:rFonts w:ascii="Arial" w:hAnsi="Arial" w:cs="Arial"/>
          <w:sz w:val="20"/>
          <w:szCs w:val="20"/>
        </w:rPr>
        <w:t>sollten</w:t>
      </w:r>
      <w:r w:rsidRPr="00D15E78">
        <w:rPr>
          <w:rFonts w:ascii="Arial" w:hAnsi="Arial" w:cs="Arial"/>
          <w:sz w:val="20"/>
          <w:szCs w:val="20"/>
        </w:rPr>
        <w:t xml:space="preserve"> </w:t>
      </w:r>
      <w:r w:rsidR="008762B5" w:rsidRPr="00D15E78">
        <w:rPr>
          <w:rFonts w:ascii="Arial" w:hAnsi="Arial" w:cs="Arial"/>
          <w:sz w:val="20"/>
          <w:szCs w:val="20"/>
        </w:rPr>
        <w:t xml:space="preserve">Hersteller von Medizinprodukten der MDR </w:t>
      </w:r>
      <w:r w:rsidRPr="00D15E78">
        <w:rPr>
          <w:rFonts w:ascii="Arial" w:hAnsi="Arial" w:cs="Arial"/>
          <w:sz w:val="20"/>
          <w:szCs w:val="20"/>
        </w:rPr>
        <w:t xml:space="preserve">trotz der längeren Übergangsfristen </w:t>
      </w:r>
      <w:r w:rsidR="00D15E78">
        <w:rPr>
          <w:rFonts w:ascii="Arial" w:hAnsi="Arial" w:cs="Arial"/>
          <w:sz w:val="20"/>
          <w:szCs w:val="20"/>
        </w:rPr>
        <w:t xml:space="preserve">schon jetzt </w:t>
      </w:r>
      <w:r w:rsidR="008762B5" w:rsidRPr="00D15E78">
        <w:rPr>
          <w:rFonts w:ascii="Arial" w:hAnsi="Arial" w:cs="Arial"/>
          <w:sz w:val="20"/>
          <w:szCs w:val="20"/>
        </w:rPr>
        <w:t xml:space="preserve">große Aufmerksamkeit schenken. </w:t>
      </w:r>
      <w:r w:rsidRPr="00D15E78">
        <w:rPr>
          <w:rFonts w:ascii="Arial" w:hAnsi="Arial" w:cs="Arial"/>
          <w:sz w:val="20"/>
          <w:szCs w:val="20"/>
        </w:rPr>
        <w:t>„</w:t>
      </w:r>
      <w:r w:rsidR="00C85C0D">
        <w:rPr>
          <w:rFonts w:ascii="Arial" w:hAnsi="Arial" w:cs="Arial"/>
          <w:sz w:val="20"/>
          <w:szCs w:val="20"/>
        </w:rPr>
        <w:t xml:space="preserve">Um </w:t>
      </w:r>
      <w:r w:rsidRPr="00D15E78">
        <w:rPr>
          <w:rFonts w:ascii="Arial" w:hAnsi="Arial" w:cs="Arial"/>
          <w:sz w:val="20"/>
          <w:szCs w:val="20"/>
        </w:rPr>
        <w:t xml:space="preserve">eine </w:t>
      </w:r>
      <w:r w:rsidR="008762B5" w:rsidRPr="00D15E78">
        <w:rPr>
          <w:rFonts w:ascii="Arial" w:hAnsi="Arial" w:cs="Arial"/>
          <w:sz w:val="20"/>
          <w:szCs w:val="20"/>
        </w:rPr>
        <w:t xml:space="preserve">Verlängerung in Anspruch </w:t>
      </w:r>
      <w:r w:rsidR="00C85C0D">
        <w:rPr>
          <w:rFonts w:ascii="Arial" w:hAnsi="Arial" w:cs="Arial"/>
          <w:sz w:val="20"/>
          <w:szCs w:val="20"/>
        </w:rPr>
        <w:t xml:space="preserve">zu </w:t>
      </w:r>
      <w:r w:rsidR="008762B5" w:rsidRPr="00D15E78">
        <w:rPr>
          <w:rFonts w:ascii="Arial" w:hAnsi="Arial" w:cs="Arial"/>
          <w:sz w:val="20"/>
          <w:szCs w:val="20"/>
        </w:rPr>
        <w:t xml:space="preserve">nehmen, müssen </w:t>
      </w:r>
      <w:r w:rsidR="00C85C0D">
        <w:rPr>
          <w:rFonts w:ascii="Arial" w:hAnsi="Arial" w:cs="Arial"/>
          <w:sz w:val="20"/>
          <w:szCs w:val="20"/>
        </w:rPr>
        <w:t xml:space="preserve">Hersteller </w:t>
      </w:r>
      <w:r w:rsidR="008762B5" w:rsidRPr="00D15E78">
        <w:rPr>
          <w:rFonts w:ascii="Arial" w:hAnsi="Arial" w:cs="Arial"/>
          <w:sz w:val="20"/>
          <w:szCs w:val="20"/>
        </w:rPr>
        <w:t xml:space="preserve">nachweisen, dass sie bereits Schritte zur </w:t>
      </w:r>
      <w:r w:rsidR="008762B5" w:rsidRPr="00D15E78">
        <w:rPr>
          <w:rFonts w:ascii="Arial" w:hAnsi="Arial" w:cs="Arial"/>
          <w:sz w:val="20"/>
          <w:szCs w:val="20"/>
        </w:rPr>
        <w:lastRenderedPageBreak/>
        <w:t>Umstellung auf die neuen</w:t>
      </w:r>
      <w:r w:rsidRPr="00D15E78">
        <w:rPr>
          <w:rFonts w:ascii="Arial" w:hAnsi="Arial" w:cs="Arial"/>
          <w:sz w:val="20"/>
          <w:szCs w:val="20"/>
        </w:rPr>
        <w:t xml:space="preserve"> Vorschriften unternommen haben“</w:t>
      </w:r>
      <w:r w:rsidR="00D15E78" w:rsidRPr="00D15E78">
        <w:rPr>
          <w:rFonts w:ascii="Arial" w:hAnsi="Arial" w:cs="Arial"/>
          <w:sz w:val="20"/>
          <w:szCs w:val="20"/>
        </w:rPr>
        <w:t>,</w:t>
      </w:r>
      <w:r w:rsidRPr="00D15E78">
        <w:rPr>
          <w:rFonts w:ascii="Arial" w:hAnsi="Arial" w:cs="Arial"/>
          <w:sz w:val="20"/>
          <w:szCs w:val="20"/>
        </w:rPr>
        <w:t xml:space="preserve"> erklärt </w:t>
      </w:r>
      <w:r w:rsidR="004F6E9F">
        <w:rPr>
          <w:rFonts w:ascii="Arial" w:hAnsi="Arial" w:cs="Arial"/>
          <w:sz w:val="20"/>
          <w:szCs w:val="20"/>
        </w:rPr>
        <w:t xml:space="preserve">Herr </w:t>
      </w:r>
      <w:r w:rsidRPr="00D15E78">
        <w:rPr>
          <w:rFonts w:ascii="Arial" w:hAnsi="Arial" w:cs="Arial"/>
          <w:sz w:val="20"/>
          <w:szCs w:val="20"/>
        </w:rPr>
        <w:t>Engelhardt.</w:t>
      </w:r>
      <w:r w:rsidR="008762B5" w:rsidRPr="00D15E78">
        <w:rPr>
          <w:rFonts w:ascii="Arial" w:hAnsi="Arial" w:cs="Arial"/>
          <w:sz w:val="20"/>
          <w:szCs w:val="20"/>
        </w:rPr>
        <w:t xml:space="preserve"> </w:t>
      </w:r>
      <w:r w:rsidRPr="00D15E78">
        <w:rPr>
          <w:rFonts w:ascii="Arial" w:hAnsi="Arial" w:cs="Arial"/>
          <w:sz w:val="20"/>
          <w:szCs w:val="20"/>
        </w:rPr>
        <w:t xml:space="preserve">Konkret </w:t>
      </w:r>
      <w:r w:rsidR="008762B5" w:rsidRPr="00D15E78">
        <w:rPr>
          <w:rFonts w:ascii="Arial" w:hAnsi="Arial" w:cs="Arial"/>
          <w:sz w:val="20"/>
          <w:szCs w:val="20"/>
        </w:rPr>
        <w:t xml:space="preserve">müssen </w:t>
      </w:r>
      <w:r w:rsidRPr="00D15E78">
        <w:rPr>
          <w:rFonts w:ascii="Arial" w:hAnsi="Arial" w:cs="Arial"/>
          <w:sz w:val="20"/>
          <w:szCs w:val="20"/>
        </w:rPr>
        <w:t xml:space="preserve">Hersteller </w:t>
      </w:r>
      <w:r w:rsidR="008762B5" w:rsidRPr="00D15E78">
        <w:rPr>
          <w:rFonts w:ascii="Arial" w:hAnsi="Arial" w:cs="Arial"/>
          <w:sz w:val="20"/>
          <w:szCs w:val="20"/>
        </w:rPr>
        <w:t xml:space="preserve">bis Mai 2024 einen Umstellungsplan vorlegen und sich bis September 2024 mit einer </w:t>
      </w:r>
      <w:r w:rsidRPr="00D15E78">
        <w:rPr>
          <w:rFonts w:ascii="Arial" w:hAnsi="Arial" w:cs="Arial"/>
          <w:sz w:val="20"/>
          <w:szCs w:val="20"/>
        </w:rPr>
        <w:t>B</w:t>
      </w:r>
      <w:r w:rsidR="008762B5" w:rsidRPr="00D15E78">
        <w:rPr>
          <w:rFonts w:ascii="Arial" w:hAnsi="Arial" w:cs="Arial"/>
          <w:sz w:val="20"/>
          <w:szCs w:val="20"/>
        </w:rPr>
        <w:t xml:space="preserve">enannten Stelle über die Umsetzung einigen. Dies gilt als Voraussetzung für die Verlängerung der Gültigkeit von Zertifikaten, die noch unter der </w:t>
      </w:r>
      <w:r w:rsidR="00D15E78">
        <w:rPr>
          <w:rFonts w:ascii="Arial" w:hAnsi="Arial" w:cs="Arial"/>
          <w:sz w:val="20"/>
          <w:szCs w:val="20"/>
        </w:rPr>
        <w:t xml:space="preserve">bisherigen Richtlinie </w:t>
      </w:r>
      <w:r w:rsidR="008762B5" w:rsidRPr="00D15E78">
        <w:rPr>
          <w:rFonts w:ascii="Arial" w:hAnsi="Arial" w:cs="Arial"/>
          <w:sz w:val="20"/>
          <w:szCs w:val="20"/>
        </w:rPr>
        <w:t>ausgestellt wurden.</w:t>
      </w:r>
      <w:r w:rsidR="000C3D86">
        <w:rPr>
          <w:rFonts w:ascii="Arial" w:hAnsi="Arial" w:cs="Arial"/>
          <w:sz w:val="20"/>
          <w:szCs w:val="20"/>
        </w:rPr>
        <w:t xml:space="preserve"> „</w:t>
      </w:r>
      <w:r w:rsidR="00295693">
        <w:rPr>
          <w:rFonts w:ascii="Arial" w:hAnsi="Arial" w:cs="Arial"/>
          <w:sz w:val="20"/>
          <w:szCs w:val="20"/>
        </w:rPr>
        <w:t xml:space="preserve">Hinzu kommt: </w:t>
      </w:r>
      <w:r w:rsidR="000C3D86">
        <w:rPr>
          <w:rFonts w:ascii="Arial" w:hAnsi="Arial" w:cs="Arial"/>
          <w:sz w:val="20"/>
          <w:szCs w:val="20"/>
        </w:rPr>
        <w:t>Der Zulassungsprozess selbst hat sich durch die Verlängerung nicht verändert und ist nach wie vor zeitaufwendig“, sagt Engelhardt.</w:t>
      </w:r>
      <w:r w:rsidR="00295693">
        <w:rPr>
          <w:rFonts w:ascii="Arial" w:hAnsi="Arial" w:cs="Arial"/>
          <w:sz w:val="20"/>
          <w:szCs w:val="20"/>
        </w:rPr>
        <w:t xml:space="preserve"> „</w:t>
      </w:r>
      <w:r w:rsidR="00821114">
        <w:rPr>
          <w:rFonts w:ascii="Arial" w:hAnsi="Arial" w:cs="Arial"/>
          <w:sz w:val="20"/>
          <w:szCs w:val="20"/>
        </w:rPr>
        <w:t>Mit den</w:t>
      </w:r>
      <w:r w:rsidR="00295693">
        <w:rPr>
          <w:rFonts w:ascii="Arial" w:hAnsi="Arial" w:cs="Arial"/>
          <w:sz w:val="20"/>
          <w:szCs w:val="20"/>
        </w:rPr>
        <w:t xml:space="preserve"> hohen </w:t>
      </w:r>
      <w:r w:rsidR="00821114">
        <w:rPr>
          <w:rFonts w:ascii="Arial" w:hAnsi="Arial" w:cs="Arial"/>
          <w:sz w:val="20"/>
          <w:szCs w:val="20"/>
        </w:rPr>
        <w:t>Zulassungss</w:t>
      </w:r>
      <w:r w:rsidR="00295693">
        <w:rPr>
          <w:rFonts w:ascii="Arial" w:hAnsi="Arial" w:cs="Arial"/>
          <w:sz w:val="20"/>
          <w:szCs w:val="20"/>
        </w:rPr>
        <w:t xml:space="preserve">tandards </w:t>
      </w:r>
      <w:r w:rsidR="00821114">
        <w:rPr>
          <w:rFonts w:ascii="Arial" w:hAnsi="Arial" w:cs="Arial"/>
          <w:sz w:val="20"/>
          <w:szCs w:val="20"/>
        </w:rPr>
        <w:t xml:space="preserve">will die EU </w:t>
      </w:r>
      <w:r w:rsidR="00295693">
        <w:rPr>
          <w:rFonts w:ascii="Arial" w:hAnsi="Arial" w:cs="Arial"/>
          <w:sz w:val="20"/>
          <w:szCs w:val="20"/>
        </w:rPr>
        <w:t>für eine höhere Sicherheit von Medizinprodukten sorgen.“</w:t>
      </w:r>
    </w:p>
    <w:p w14:paraId="74B6BE09" w14:textId="21A55FC6" w:rsidR="00415FF7" w:rsidRDefault="00415FF7" w:rsidP="001D29C1">
      <w:pPr>
        <w:spacing w:after="0" w:line="360" w:lineRule="auto"/>
        <w:ind w:right="-2"/>
        <w:rPr>
          <w:rFonts w:ascii="Arial" w:hAnsi="Arial" w:cs="Arial"/>
          <w:sz w:val="20"/>
          <w:szCs w:val="20"/>
        </w:rPr>
      </w:pPr>
    </w:p>
    <w:p w14:paraId="298C5F50" w14:textId="75F62CEE" w:rsidR="00415FF7" w:rsidRPr="00415FF7" w:rsidRDefault="00415FF7" w:rsidP="00415FF7">
      <w:pPr>
        <w:spacing w:after="0" w:line="360" w:lineRule="auto"/>
        <w:rPr>
          <w:rFonts w:ascii="Arial" w:hAnsi="Arial" w:cs="Arial"/>
          <w:sz w:val="20"/>
          <w:szCs w:val="20"/>
        </w:rPr>
      </w:pPr>
      <w:r w:rsidRPr="00415FF7">
        <w:rPr>
          <w:rFonts w:ascii="Arial" w:hAnsi="Arial" w:cs="Arial"/>
          <w:sz w:val="20"/>
          <w:szCs w:val="20"/>
        </w:rPr>
        <w:t>Zudem sollen nur solche Medizinprodukte von den verlängerten Fristen profitieren, die auch tatsächlich unter der MDR weiter vertrieben oder durch ein Nachfolgeprodukt ersetzt werden sollen. Bestandsprodukte, für die kein Konformitätsbewertungsverfahren nach der MDR eingeleitet wird, fallen nicht unter die neuen Vorgaben.</w:t>
      </w:r>
    </w:p>
    <w:p w14:paraId="46F10733" w14:textId="77777777" w:rsidR="008762B5" w:rsidRPr="00D15E78" w:rsidRDefault="008762B5" w:rsidP="002A2324">
      <w:pPr>
        <w:spacing w:after="0" w:line="360" w:lineRule="auto"/>
        <w:ind w:right="-2"/>
        <w:rPr>
          <w:rFonts w:ascii="Arial" w:hAnsi="Arial" w:cs="Arial"/>
          <w:sz w:val="20"/>
          <w:szCs w:val="20"/>
        </w:rPr>
      </w:pPr>
    </w:p>
    <w:p w14:paraId="27AE07B8" w14:textId="77777777" w:rsidR="00D15E78" w:rsidRPr="00D15E78" w:rsidRDefault="00D15E78" w:rsidP="00D15E78">
      <w:pPr>
        <w:spacing w:line="360" w:lineRule="auto"/>
        <w:ind w:right="-2"/>
        <w:rPr>
          <w:rFonts w:ascii="Arial" w:hAnsi="Arial" w:cs="Arial"/>
          <w:sz w:val="20"/>
          <w:szCs w:val="20"/>
        </w:rPr>
      </w:pPr>
      <w:r w:rsidRPr="00D15E78">
        <w:rPr>
          <w:rFonts w:ascii="Arial" w:hAnsi="Arial" w:cs="Arial"/>
          <w:sz w:val="20"/>
          <w:szCs w:val="20"/>
        </w:rPr>
        <w:t>Für In-vitro-Diagnostika wurden die Übergangsfristen bereits im Januar 2022 durch die Verordnung 2022/112 auf die folgenden Termine verlängert:</w:t>
      </w:r>
    </w:p>
    <w:p w14:paraId="5A6AEFAA" w14:textId="77777777" w:rsidR="00D15E78" w:rsidRPr="00D15E78" w:rsidRDefault="00D15E78" w:rsidP="00D15E78">
      <w:pPr>
        <w:pStyle w:val="Listenabsatz"/>
        <w:numPr>
          <w:ilvl w:val="0"/>
          <w:numId w:val="6"/>
        </w:numPr>
        <w:spacing w:after="0" w:line="360" w:lineRule="auto"/>
        <w:ind w:right="-2"/>
        <w:contextualSpacing w:val="0"/>
        <w:rPr>
          <w:rFonts w:ascii="Arial" w:hAnsi="Arial" w:cs="Arial"/>
          <w:sz w:val="20"/>
          <w:szCs w:val="20"/>
        </w:rPr>
      </w:pPr>
      <w:r w:rsidRPr="00D15E78">
        <w:rPr>
          <w:rFonts w:ascii="Arial" w:hAnsi="Arial" w:cs="Arial"/>
          <w:sz w:val="20"/>
          <w:szCs w:val="20"/>
        </w:rPr>
        <w:t>26. Mai 2025 In-vitro-Diagnostika (Klasse D)</w:t>
      </w:r>
    </w:p>
    <w:p w14:paraId="53793415" w14:textId="77777777" w:rsidR="00D15E78" w:rsidRPr="00D15E78" w:rsidRDefault="00D15E78" w:rsidP="00D15E78">
      <w:pPr>
        <w:pStyle w:val="Listenabsatz"/>
        <w:numPr>
          <w:ilvl w:val="0"/>
          <w:numId w:val="6"/>
        </w:numPr>
        <w:spacing w:after="0" w:line="360" w:lineRule="auto"/>
        <w:ind w:right="-2"/>
        <w:contextualSpacing w:val="0"/>
        <w:rPr>
          <w:rFonts w:ascii="Arial" w:hAnsi="Arial" w:cs="Arial"/>
          <w:sz w:val="20"/>
          <w:szCs w:val="20"/>
        </w:rPr>
      </w:pPr>
      <w:r w:rsidRPr="00D15E78">
        <w:rPr>
          <w:rFonts w:ascii="Arial" w:hAnsi="Arial" w:cs="Arial"/>
          <w:sz w:val="20"/>
          <w:szCs w:val="20"/>
        </w:rPr>
        <w:t>26. Mai 2026 In-vitro-Diagnostika (Klasse C)</w:t>
      </w:r>
    </w:p>
    <w:p w14:paraId="6BCFF5F9" w14:textId="77777777" w:rsidR="000C3D86" w:rsidRDefault="00D15E78" w:rsidP="00365179">
      <w:pPr>
        <w:pStyle w:val="Listenabsatz"/>
        <w:numPr>
          <w:ilvl w:val="0"/>
          <w:numId w:val="6"/>
        </w:numPr>
        <w:spacing w:after="0" w:line="360" w:lineRule="auto"/>
        <w:ind w:right="-2"/>
        <w:contextualSpacing w:val="0"/>
        <w:rPr>
          <w:rFonts w:ascii="Arial" w:hAnsi="Arial" w:cs="Arial"/>
          <w:sz w:val="20"/>
          <w:szCs w:val="20"/>
        </w:rPr>
      </w:pPr>
      <w:r w:rsidRPr="00D15E78">
        <w:rPr>
          <w:rFonts w:ascii="Arial" w:hAnsi="Arial" w:cs="Arial"/>
          <w:sz w:val="20"/>
          <w:szCs w:val="20"/>
        </w:rPr>
        <w:t>26. Mai 2027 In-vitro-Diagnostika (Klasse A steril und Klasse B)</w:t>
      </w:r>
    </w:p>
    <w:p w14:paraId="241C4453" w14:textId="7067E7EF" w:rsidR="000C3D86" w:rsidRDefault="000C3D86" w:rsidP="00365179">
      <w:pPr>
        <w:spacing w:after="0" w:line="360" w:lineRule="auto"/>
        <w:ind w:right="-2"/>
        <w:rPr>
          <w:rFonts w:ascii="Arial" w:hAnsi="Arial" w:cs="Arial"/>
          <w:sz w:val="20"/>
          <w:szCs w:val="20"/>
        </w:rPr>
      </w:pPr>
    </w:p>
    <w:p w14:paraId="01324662" w14:textId="77777777" w:rsidR="00365179" w:rsidRDefault="00365179" w:rsidP="00365179">
      <w:pPr>
        <w:spacing w:after="0" w:line="360" w:lineRule="auto"/>
        <w:rPr>
          <w:rFonts w:ascii="Arial" w:hAnsi="Arial" w:cs="Arial"/>
          <w:sz w:val="20"/>
          <w:szCs w:val="20"/>
        </w:rPr>
      </w:pPr>
      <w:r w:rsidRPr="00365179">
        <w:rPr>
          <w:rFonts w:ascii="Arial" w:hAnsi="Arial" w:cs="Arial"/>
          <w:sz w:val="20"/>
          <w:szCs w:val="20"/>
        </w:rPr>
        <w:t>Zudem hebt die neue Verordnung die ursprünglich vorgesehenen Fristen für den Abverkauf bereits in den Verkehr gebrachter Medizinprodukte und In-vitro-Diagnostika auf. Damit dürfen diese Bestände auch über die in den jeweiligen Verordnungen genannten Zeiträume hinaus in der EU vertrieben werden.</w:t>
      </w:r>
    </w:p>
    <w:p w14:paraId="4DF57144" w14:textId="77777777" w:rsidR="00365179" w:rsidRDefault="00365179" w:rsidP="00365179">
      <w:pPr>
        <w:spacing w:after="0" w:line="360" w:lineRule="auto"/>
        <w:rPr>
          <w:rFonts w:ascii="Arial" w:hAnsi="Arial" w:cs="Arial"/>
          <w:sz w:val="20"/>
          <w:szCs w:val="20"/>
        </w:rPr>
      </w:pPr>
    </w:p>
    <w:p w14:paraId="6B75E929" w14:textId="00C2D86D" w:rsidR="000C3D86" w:rsidRDefault="00D15E78" w:rsidP="00365179">
      <w:pPr>
        <w:spacing w:after="0" w:line="360" w:lineRule="auto"/>
        <w:rPr>
          <w:rFonts w:ascii="Arial" w:hAnsi="Arial" w:cs="Arial"/>
          <w:sz w:val="20"/>
          <w:szCs w:val="20"/>
        </w:rPr>
      </w:pPr>
      <w:r w:rsidRPr="000C3D86">
        <w:rPr>
          <w:rFonts w:ascii="Arial" w:hAnsi="Arial" w:cs="Arial"/>
          <w:sz w:val="20"/>
          <w:szCs w:val="20"/>
        </w:rPr>
        <w:t xml:space="preserve">TÜV Rheinland hat als eine der ersten europäischen Benannten Stellen </w:t>
      </w:r>
      <w:r w:rsidR="00821114">
        <w:rPr>
          <w:rFonts w:ascii="Arial" w:hAnsi="Arial" w:cs="Arial"/>
          <w:sz w:val="20"/>
          <w:szCs w:val="20"/>
        </w:rPr>
        <w:t xml:space="preserve">bereits 2019 </w:t>
      </w:r>
      <w:r w:rsidRPr="000C3D86">
        <w:rPr>
          <w:rFonts w:ascii="Arial" w:hAnsi="Arial" w:cs="Arial"/>
          <w:sz w:val="20"/>
          <w:szCs w:val="20"/>
        </w:rPr>
        <w:t xml:space="preserve">die Akkreditierung für die </w:t>
      </w:r>
      <w:r w:rsidR="000C3D86" w:rsidRPr="000C3D86">
        <w:rPr>
          <w:rFonts w:ascii="Arial" w:hAnsi="Arial" w:cs="Arial"/>
          <w:sz w:val="20"/>
          <w:szCs w:val="20"/>
        </w:rPr>
        <w:t>Zertifizierung von Medizinprodukten und In-vitro-Diagnostika gemäß de</w:t>
      </w:r>
      <w:r w:rsidR="00442CBE">
        <w:rPr>
          <w:rFonts w:ascii="Arial" w:hAnsi="Arial" w:cs="Arial"/>
          <w:sz w:val="20"/>
          <w:szCs w:val="20"/>
        </w:rPr>
        <w:t>n</w:t>
      </w:r>
      <w:r w:rsidR="000C3D86" w:rsidRPr="000C3D86">
        <w:rPr>
          <w:rFonts w:ascii="Arial" w:hAnsi="Arial" w:cs="Arial"/>
          <w:sz w:val="20"/>
          <w:szCs w:val="20"/>
        </w:rPr>
        <w:t xml:space="preserve"> neuen</w:t>
      </w:r>
      <w:r w:rsidR="00C85C0D">
        <w:rPr>
          <w:rFonts w:ascii="Arial" w:hAnsi="Arial" w:cs="Arial"/>
          <w:sz w:val="20"/>
          <w:szCs w:val="20"/>
        </w:rPr>
        <w:t xml:space="preserve"> </w:t>
      </w:r>
      <w:r w:rsidR="000C3D86" w:rsidRPr="000C3D86">
        <w:rPr>
          <w:rFonts w:ascii="Arial" w:hAnsi="Arial" w:cs="Arial"/>
          <w:sz w:val="20"/>
          <w:szCs w:val="20"/>
        </w:rPr>
        <w:t xml:space="preserve">Vorschriften </w:t>
      </w:r>
      <w:r w:rsidRPr="000C3D86">
        <w:rPr>
          <w:rFonts w:ascii="Arial" w:hAnsi="Arial" w:cs="Arial"/>
          <w:sz w:val="20"/>
          <w:szCs w:val="20"/>
        </w:rPr>
        <w:t xml:space="preserve">erhalten. </w:t>
      </w:r>
      <w:r w:rsidR="000C3D86">
        <w:rPr>
          <w:rFonts w:ascii="Arial" w:hAnsi="Arial" w:cs="Arial"/>
          <w:sz w:val="20"/>
          <w:szCs w:val="20"/>
        </w:rPr>
        <w:t xml:space="preserve">Weitere Informationen zur Umstellung auf die Medizingeräterichtlinie unter </w:t>
      </w:r>
      <w:hyperlink r:id="rId12" w:history="1">
        <w:r w:rsidR="000C3D86" w:rsidRPr="005156F8">
          <w:rPr>
            <w:rStyle w:val="Hyperlink"/>
            <w:rFonts w:ascii="Arial" w:hAnsi="Arial" w:cs="Arial"/>
            <w:sz w:val="20"/>
            <w:szCs w:val="20"/>
          </w:rPr>
          <w:t>www.tuv.com/mdr</w:t>
        </w:r>
      </w:hyperlink>
      <w:r w:rsidR="000C3D86">
        <w:rPr>
          <w:rFonts w:ascii="Arial" w:hAnsi="Arial" w:cs="Arial"/>
          <w:sz w:val="20"/>
          <w:szCs w:val="20"/>
        </w:rPr>
        <w:t xml:space="preserve"> bei TÜV Rheinland.</w:t>
      </w:r>
    </w:p>
    <w:p w14:paraId="257EAEE6" w14:textId="77777777" w:rsidR="00C85C0D" w:rsidRPr="000C3D86" w:rsidRDefault="00C85C0D" w:rsidP="00C85C0D">
      <w:pPr>
        <w:spacing w:after="0" w:line="360" w:lineRule="auto"/>
        <w:ind w:right="-2"/>
        <w:rPr>
          <w:rFonts w:ascii="Arial" w:hAnsi="Arial" w:cs="Arial"/>
          <w:sz w:val="20"/>
          <w:szCs w:val="20"/>
        </w:rPr>
      </w:pPr>
    </w:p>
    <w:p w14:paraId="080881B4" w14:textId="77777777" w:rsidR="00C6773C" w:rsidRPr="001D18D1" w:rsidRDefault="00C6773C" w:rsidP="00675705">
      <w:pPr>
        <w:spacing w:after="0" w:line="360" w:lineRule="auto"/>
        <w:ind w:right="-2"/>
        <w:rPr>
          <w:rFonts w:ascii="Arial" w:hAnsi="Arial" w:cs="Arial"/>
          <w:i/>
          <w:sz w:val="16"/>
          <w:szCs w:val="20"/>
        </w:rPr>
      </w:pPr>
    </w:p>
    <w:p w14:paraId="49648931" w14:textId="77777777" w:rsidR="00E73281" w:rsidRPr="00E73281" w:rsidRDefault="001D18D1" w:rsidP="00675705">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1D18D1">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w:t>
      </w:r>
      <w:r w:rsidRPr="001D18D1">
        <w:rPr>
          <w:rFonts w:ascii="Arial" w:hAnsi="Arial" w:cs="Arial"/>
          <w:i/>
          <w:iCs/>
          <w:color w:val="000000"/>
          <w:sz w:val="18"/>
          <w:szCs w:val="20"/>
        </w:rPr>
        <w:lastRenderedPageBreak/>
        <w:t xml:space="preserve">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1D18D1">
        <w:rPr>
          <w:rFonts w:ascii="Arial" w:hAnsi="Arial" w:cs="Arial"/>
          <w:i/>
          <w:sz w:val="18"/>
          <w:szCs w:val="20"/>
        </w:rPr>
        <w:t xml:space="preserve">Website: </w:t>
      </w:r>
      <w:hyperlink r:id="rId13" w:history="1">
        <w:r w:rsidRPr="001D18D1">
          <w:rPr>
            <w:rStyle w:val="Hyperlink"/>
            <w:rFonts w:ascii="Arial" w:hAnsi="Arial" w:cs="Arial"/>
            <w:i/>
            <w:iCs/>
            <w:sz w:val="18"/>
            <w:szCs w:val="20"/>
          </w:rPr>
          <w:t>www.tuv.com</w:t>
        </w:r>
      </w:hyperlink>
    </w:p>
    <w:p w14:paraId="30EFFC7C" w14:textId="77777777" w:rsidR="00C6773C" w:rsidRPr="000E1C4C" w:rsidRDefault="00C6773C" w:rsidP="00675705">
      <w:pPr>
        <w:tabs>
          <w:tab w:val="left" w:pos="5670"/>
        </w:tabs>
        <w:autoSpaceDE w:val="0"/>
        <w:autoSpaceDN w:val="0"/>
        <w:adjustRightInd w:val="0"/>
        <w:spacing w:after="0" w:line="360" w:lineRule="auto"/>
        <w:ind w:right="-2"/>
        <w:rPr>
          <w:rFonts w:ascii="Arial" w:hAnsi="Arial" w:cs="Arial"/>
          <w:i/>
          <w:sz w:val="18"/>
          <w:szCs w:val="18"/>
        </w:rPr>
      </w:pPr>
      <w:r w:rsidRPr="000E1C4C">
        <w:rPr>
          <w:rFonts w:ascii="Arial" w:hAnsi="Arial" w:cs="Arial"/>
          <w:i/>
          <w:sz w:val="18"/>
          <w:szCs w:val="18"/>
        </w:rPr>
        <w:t>________________________________________________________________________</w:t>
      </w:r>
    </w:p>
    <w:p w14:paraId="01B5F92B" w14:textId="77777777" w:rsidR="00C6773C" w:rsidRPr="00744725" w:rsidRDefault="00C6773C" w:rsidP="00675705">
      <w:pPr>
        <w:widowControl w:val="0"/>
        <w:spacing w:after="0" w:line="360" w:lineRule="auto"/>
        <w:ind w:right="-2"/>
        <w:rPr>
          <w:rFonts w:ascii="Arial" w:hAnsi="Arial" w:cs="Arial"/>
          <w:sz w:val="18"/>
          <w:szCs w:val="18"/>
        </w:rPr>
      </w:pPr>
      <w:r w:rsidRPr="00744725">
        <w:rPr>
          <w:rFonts w:ascii="Arial" w:hAnsi="Arial" w:cs="Arial"/>
          <w:sz w:val="18"/>
          <w:szCs w:val="18"/>
        </w:rPr>
        <w:t xml:space="preserve">Ihr Ansprechpartner für redaktionelle Fragen: </w:t>
      </w:r>
    </w:p>
    <w:p w14:paraId="3D248B1D" w14:textId="77777777" w:rsidR="00C6773C" w:rsidRPr="00744725" w:rsidRDefault="000E1C4C" w:rsidP="00675705">
      <w:pPr>
        <w:widowControl w:val="0"/>
        <w:spacing w:after="0" w:line="360" w:lineRule="auto"/>
        <w:ind w:right="-2"/>
        <w:rPr>
          <w:rFonts w:ascii="Arial" w:hAnsi="Arial" w:cs="Arial"/>
          <w:sz w:val="18"/>
          <w:szCs w:val="18"/>
        </w:rPr>
      </w:pPr>
      <w:r>
        <w:rPr>
          <w:rFonts w:ascii="Arial" w:hAnsi="Arial" w:cs="Arial"/>
          <w:sz w:val="18"/>
          <w:szCs w:val="18"/>
        </w:rPr>
        <w:t>Pressestelle TÜV Rheinland</w:t>
      </w:r>
      <w:r w:rsidR="00C6773C" w:rsidRPr="00744725">
        <w:rPr>
          <w:rFonts w:ascii="Arial" w:hAnsi="Arial" w:cs="Arial"/>
          <w:sz w:val="18"/>
          <w:szCs w:val="18"/>
        </w:rPr>
        <w:t>, Tel.: +49 2 21/8 06-</w:t>
      </w:r>
      <w:r>
        <w:rPr>
          <w:rFonts w:ascii="Arial" w:hAnsi="Arial" w:cs="Arial"/>
          <w:sz w:val="18"/>
          <w:szCs w:val="18"/>
        </w:rPr>
        <w:t>21 48</w:t>
      </w:r>
    </w:p>
    <w:p w14:paraId="3DF99C9F" w14:textId="77777777" w:rsidR="003C722D" w:rsidRPr="00D5228C" w:rsidRDefault="00C6773C" w:rsidP="00675705">
      <w:pPr>
        <w:spacing w:after="0" w:line="360" w:lineRule="auto"/>
        <w:ind w:right="-2"/>
        <w:rPr>
          <w:rFonts w:ascii="Arial" w:hAnsi="Arial" w:cs="Arial"/>
          <w:sz w:val="18"/>
          <w:szCs w:val="18"/>
        </w:rPr>
      </w:pPr>
      <w:r w:rsidRPr="000C1F94">
        <w:rPr>
          <w:rFonts w:ascii="Arial" w:hAnsi="Arial" w:cs="Arial"/>
          <w:sz w:val="18"/>
          <w:szCs w:val="18"/>
        </w:rPr>
        <w:t xml:space="preserve">Die aktuellen Presseinformationen </w:t>
      </w:r>
      <w:r>
        <w:rPr>
          <w:rFonts w:ascii="Arial" w:hAnsi="Arial" w:cs="Arial"/>
          <w:sz w:val="18"/>
          <w:szCs w:val="18"/>
        </w:rPr>
        <w:t xml:space="preserve">sowie themenbezogene Fotos und Videos </w:t>
      </w:r>
      <w:r w:rsidRPr="000C1F94">
        <w:rPr>
          <w:rFonts w:ascii="Arial" w:hAnsi="Arial" w:cs="Arial"/>
          <w:sz w:val="18"/>
          <w:szCs w:val="18"/>
        </w:rPr>
        <w:t>erhalten Sie auch per E-Mail über press</w:t>
      </w:r>
      <w:r>
        <w:rPr>
          <w:rFonts w:ascii="Arial" w:hAnsi="Arial" w:cs="Arial"/>
          <w:sz w:val="18"/>
          <w:szCs w:val="18"/>
        </w:rPr>
        <w:t xml:space="preserve">e@de.tuv.com sowie im Internet: </w:t>
      </w:r>
      <w:r w:rsidR="00EE100B">
        <w:rPr>
          <w:rFonts w:ascii="Arial" w:hAnsi="Arial" w:cs="Arial"/>
          <w:sz w:val="18"/>
          <w:szCs w:val="18"/>
        </w:rPr>
        <w:t>www</w:t>
      </w:r>
      <w:r w:rsidRPr="00C6773C">
        <w:rPr>
          <w:rFonts w:ascii="Arial" w:hAnsi="Arial" w:cs="Arial"/>
          <w:sz w:val="18"/>
          <w:szCs w:val="18"/>
        </w:rPr>
        <w:t>.tuv.com</w:t>
      </w:r>
      <w:r w:rsidR="00EE100B">
        <w:rPr>
          <w:rFonts w:ascii="Arial" w:hAnsi="Arial" w:cs="Arial"/>
          <w:sz w:val="18"/>
          <w:szCs w:val="18"/>
        </w:rPr>
        <w:t>/presse</w:t>
      </w:r>
      <w:r w:rsidRPr="000C1F94">
        <w:rPr>
          <w:rFonts w:ascii="Arial" w:hAnsi="Arial" w:cs="Arial"/>
          <w:sz w:val="18"/>
          <w:szCs w:val="18"/>
        </w:rPr>
        <w:t xml:space="preserve"> und </w:t>
      </w:r>
      <w:hyperlink r:id="rId14" w:history="1">
        <w:r w:rsidRPr="000C1F94">
          <w:rPr>
            <w:rFonts w:ascii="Arial" w:hAnsi="Arial" w:cs="Arial"/>
            <w:sz w:val="18"/>
            <w:szCs w:val="18"/>
          </w:rPr>
          <w:t>www.twitter.com/tuvcom_presse</w:t>
        </w:r>
      </w:hyperlink>
    </w:p>
    <w:sectPr w:rsidR="003C722D" w:rsidRPr="00D5228C"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48BFB" w14:textId="77777777" w:rsidR="00683274" w:rsidRDefault="00683274" w:rsidP="00D72123">
      <w:pPr>
        <w:spacing w:after="0" w:line="240" w:lineRule="auto"/>
      </w:pPr>
      <w:r>
        <w:separator/>
      </w:r>
    </w:p>
  </w:endnote>
  <w:endnote w:type="continuationSeparator" w:id="0">
    <w:p w14:paraId="0AB05B66" w14:textId="77777777" w:rsidR="00683274" w:rsidRDefault="00683274"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695D5" w14:textId="77777777" w:rsidR="00683274" w:rsidRDefault="00683274" w:rsidP="00D72123">
      <w:pPr>
        <w:spacing w:after="0" w:line="240" w:lineRule="auto"/>
      </w:pPr>
      <w:r>
        <w:separator/>
      </w:r>
    </w:p>
  </w:footnote>
  <w:footnote w:type="continuationSeparator" w:id="0">
    <w:p w14:paraId="5406E31C" w14:textId="77777777" w:rsidR="00683274" w:rsidRDefault="00683274"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8555F" w14:textId="77777777"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50546E3" wp14:editId="067D1E9A">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090BACE6" wp14:editId="1FF4BAD0">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0AAF8D71"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784FD661"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981"/>
    <w:multiLevelType w:val="hybridMultilevel"/>
    <w:tmpl w:val="E6806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AEE0820"/>
    <w:multiLevelType w:val="hybridMultilevel"/>
    <w:tmpl w:val="D2545C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B253002"/>
    <w:multiLevelType w:val="hybridMultilevel"/>
    <w:tmpl w:val="F88A7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05564C6"/>
    <w:multiLevelType w:val="hybridMultilevel"/>
    <w:tmpl w:val="8BDE3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6533A"/>
    <w:rsid w:val="000A4B26"/>
    <w:rsid w:val="000A6801"/>
    <w:rsid w:val="000C3D86"/>
    <w:rsid w:val="000E1C4C"/>
    <w:rsid w:val="000F2434"/>
    <w:rsid w:val="001073FA"/>
    <w:rsid w:val="0011074D"/>
    <w:rsid w:val="00124089"/>
    <w:rsid w:val="00150E4E"/>
    <w:rsid w:val="001644D0"/>
    <w:rsid w:val="001D18D1"/>
    <w:rsid w:val="001D29C1"/>
    <w:rsid w:val="00201861"/>
    <w:rsid w:val="002207B1"/>
    <w:rsid w:val="0025449E"/>
    <w:rsid w:val="00264F71"/>
    <w:rsid w:val="00295693"/>
    <w:rsid w:val="002977DD"/>
    <w:rsid w:val="002A2324"/>
    <w:rsid w:val="002B4D4D"/>
    <w:rsid w:val="002B7620"/>
    <w:rsid w:val="002D64D8"/>
    <w:rsid w:val="002D665E"/>
    <w:rsid w:val="00330B36"/>
    <w:rsid w:val="00356470"/>
    <w:rsid w:val="0035674C"/>
    <w:rsid w:val="00365179"/>
    <w:rsid w:val="003C722D"/>
    <w:rsid w:val="003E70CB"/>
    <w:rsid w:val="00415FF7"/>
    <w:rsid w:val="00431F6C"/>
    <w:rsid w:val="00442CBE"/>
    <w:rsid w:val="004462BB"/>
    <w:rsid w:val="004869D2"/>
    <w:rsid w:val="004E0AFA"/>
    <w:rsid w:val="004F3DA8"/>
    <w:rsid w:val="004F6E9F"/>
    <w:rsid w:val="00500879"/>
    <w:rsid w:val="005023C9"/>
    <w:rsid w:val="0058780D"/>
    <w:rsid w:val="005B2628"/>
    <w:rsid w:val="005C2271"/>
    <w:rsid w:val="005C39AF"/>
    <w:rsid w:val="00623A9C"/>
    <w:rsid w:val="00624234"/>
    <w:rsid w:val="006537E3"/>
    <w:rsid w:val="00675705"/>
    <w:rsid w:val="00683274"/>
    <w:rsid w:val="006A4796"/>
    <w:rsid w:val="006C2606"/>
    <w:rsid w:val="00707004"/>
    <w:rsid w:val="00754CEE"/>
    <w:rsid w:val="007B1C57"/>
    <w:rsid w:val="007D0597"/>
    <w:rsid w:val="007D4B4B"/>
    <w:rsid w:val="00821114"/>
    <w:rsid w:val="008762B5"/>
    <w:rsid w:val="008A3768"/>
    <w:rsid w:val="008B2C5A"/>
    <w:rsid w:val="008C4EEA"/>
    <w:rsid w:val="008D7592"/>
    <w:rsid w:val="008E1EEC"/>
    <w:rsid w:val="008E3E1F"/>
    <w:rsid w:val="00910393"/>
    <w:rsid w:val="00914B2B"/>
    <w:rsid w:val="00965509"/>
    <w:rsid w:val="00972400"/>
    <w:rsid w:val="009D404E"/>
    <w:rsid w:val="009F1131"/>
    <w:rsid w:val="00A836B2"/>
    <w:rsid w:val="00A84790"/>
    <w:rsid w:val="00A96D76"/>
    <w:rsid w:val="00AB5977"/>
    <w:rsid w:val="00B14C97"/>
    <w:rsid w:val="00B436A6"/>
    <w:rsid w:val="00B45F80"/>
    <w:rsid w:val="00B7224A"/>
    <w:rsid w:val="00B74BB5"/>
    <w:rsid w:val="00BB1D8B"/>
    <w:rsid w:val="00C159DC"/>
    <w:rsid w:val="00C23770"/>
    <w:rsid w:val="00C45E98"/>
    <w:rsid w:val="00C56CF8"/>
    <w:rsid w:val="00C6773C"/>
    <w:rsid w:val="00C85C0D"/>
    <w:rsid w:val="00C941AB"/>
    <w:rsid w:val="00CB2873"/>
    <w:rsid w:val="00D15E78"/>
    <w:rsid w:val="00D307C5"/>
    <w:rsid w:val="00D5228C"/>
    <w:rsid w:val="00D60257"/>
    <w:rsid w:val="00D72123"/>
    <w:rsid w:val="00E73281"/>
    <w:rsid w:val="00EA487A"/>
    <w:rsid w:val="00EC10CC"/>
    <w:rsid w:val="00EE100B"/>
    <w:rsid w:val="00F17684"/>
    <w:rsid w:val="00F64495"/>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66976B6"/>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BesuchterLink">
    <w:name w:val="FollowedHyperlink"/>
    <w:basedOn w:val="Absatz-Standardschriftart"/>
    <w:uiPriority w:val="99"/>
    <w:semiHidden/>
    <w:unhideWhenUsed/>
    <w:rsid w:val="006757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md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md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grallar\2347%20Sporthalle\Final\www.twitter.com\tuvcom_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A595BD25E055D4CB65B162BACF44F89" ma:contentTypeVersion="8" ma:contentTypeDescription="Ein neues Dokument erstellen." ma:contentTypeScope="" ma:versionID="37e630e0ac8dcb0dd624599f66048782">
  <xsd:schema xmlns:xsd="http://www.w3.org/2001/XMLSchema" xmlns:xs="http://www.w3.org/2001/XMLSchema" xmlns:p="http://schemas.microsoft.com/office/2006/metadata/properties" xmlns:ns3="0f00ea7d-d158-4235-a537-7f82edc99d17" targetNamespace="http://schemas.microsoft.com/office/2006/metadata/properties" ma:root="true" ma:fieldsID="ff0863dcdd3b3a125c09b0b76e325248" ns3:_="">
    <xsd:import namespace="0f00ea7d-d158-4235-a537-7f82edc99d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0ea7d-d158-4235-a537-7f82edc99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7C4F0-A017-42A3-904D-34C3BB1C36F4}">
  <ds:schemaRefs>
    <ds:schemaRef ds:uri="http://schemas.microsoft.com/sharepoint/v3/contenttype/forms"/>
  </ds:schemaRefs>
</ds:datastoreItem>
</file>

<file path=customXml/itemProps2.xml><?xml version="1.0" encoding="utf-8"?>
<ds:datastoreItem xmlns:ds="http://schemas.openxmlformats.org/officeDocument/2006/customXml" ds:itemID="{F0CADA17-6A84-44E7-8B62-7473CC436E84}">
  <ds:schemaRefs>
    <ds:schemaRef ds:uri="http://schemas.microsoft.com/office/2006/documentManagement/types"/>
    <ds:schemaRef ds:uri="http://schemas.microsoft.com/office/infopath/2007/PartnerControls"/>
    <ds:schemaRef ds:uri="0f00ea7d-d158-4235-a537-7f82edc99d17"/>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FF0D642-DA98-41ED-BDF2-DE25B8508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0ea7d-d158-4235-a537-7f82edc99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9A36E-1A8B-47D8-9C3C-A19B8FB7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4814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Alexander Schneider</cp:lastModifiedBy>
  <cp:revision>7</cp:revision>
  <cp:lastPrinted>2017-12-06T08:02:00Z</cp:lastPrinted>
  <dcterms:created xsi:type="dcterms:W3CDTF">2023-03-07T13:50:00Z</dcterms:created>
  <dcterms:modified xsi:type="dcterms:W3CDTF">2023-03-20T10:39:00Z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0x0101002A595BD25E055D4CB65B162BACF44F89</vt:lpwstr>
  </property>
</Properties>
</file>