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71B9"/>
          <w:sz w:val="28"/>
          <w:lang w:val="de-DE" w:eastAsia="de-DE"/>
        </w:rPr>
        <w:t>TÜV Rheinland: Partnerschaft für geeichte und sichere Ladesäulen von E-Autos</w:t>
      </w:r>
    </w:p>
    <w:p>
      <w:pPr>
        <w:pStyle w:val="Normal"/>
        <w:rPr>
          <w:lang w:val="de-DE" w:eastAsia="de-DE"/>
        </w:rPr>
      </w:pPr>
      <w:r>
        <w:rPr>
          <w:lang w:val="de-DE" w:eastAsia="de-DE"/>
        </w:rPr>
      </w:r>
    </w:p>
    <w:p>
      <w:pPr>
        <w:pStyle w:val="Normal"/>
        <w:rPr>
          <w:lang w:val="de-DE"/>
        </w:rPr>
      </w:pPr>
      <w:r>
        <w:rPr/>
        <w:drawing>
          <wp:inline distT="0" distB="0" distL="0" distR="0">
            <wp:extent cx="5760720" cy="2879725"/>
            <wp:effectExtent l="0" t="0" r="0" b="0"/>
            <wp:docPr id="1" name="Grafik 2" descr="TÜV Rheinland autorisiertes Testlabor für Alexa Voice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TÜV Rheinland autorisiertes Testlabor für Alexa Voice Service"/>
                    <pic:cNvPicPr>
                      <a:picLocks noChangeAspect="1" noChangeArrowheads="1"/>
                    </pic:cNvPicPr>
                  </pic:nvPicPr>
                  <pic:blipFill>
                    <a:blip r:embed="rId2"/>
                    <a:stretch>
                      <a:fillRect/>
                    </a:stretch>
                  </pic:blipFill>
                  <pic:spPr bwMode="auto">
                    <a:xfrm>
                      <a:off x="0" y="0"/>
                      <a:ext cx="5760720" cy="2879725"/>
                    </a:xfrm>
                    <a:prstGeom prst="rect">
                      <a:avLst/>
                    </a:prstGeom>
                  </pic:spPr>
                </pic:pic>
              </a:graphicData>
            </a:graphic>
          </wp:inline>
        </w:drawing>
      </w:r>
    </w:p>
    <w:p>
      <w:pPr>
        <w:pStyle w:val="Normal"/>
        <w:rPr>
          <w:lang w:val="de-DE"/>
        </w:rPr>
      </w:pPr>
      <w:r>
        <w:rPr>
          <w:lang w:val="de-DE"/>
        </w:rPr>
      </w:r>
    </w:p>
    <w:p>
      <w:pPr>
        <w:pStyle w:val="Normal"/>
        <w:rPr/>
      </w:pPr>
      <w:r>
        <w:rPr>
          <w:color w:val="808080" w:themeColor="background1" w:themeShade="80"/>
          <w:lang w:val="de-DE"/>
        </w:rPr>
        <w:t>Sep 7, 2022 | Auto, Reise &amp; Verkehr</w:t>
      </w:r>
    </w:p>
    <w:p>
      <w:pPr>
        <w:pStyle w:val="Normal"/>
        <w:rPr>
          <w:lang w:val="de-DE"/>
        </w:rPr>
      </w:pPr>
      <w:r>
        <w:rPr>
          <w:lang w:val="de-DE"/>
        </w:rPr>
      </w:r>
    </w:p>
    <w:p>
      <w:pPr>
        <w:pStyle w:val="Normal"/>
        <w:spacing w:lineRule="auto" w:line="276"/>
        <w:rPr/>
      </w:pPr>
      <w:r>
        <w:rPr>
          <w:sz w:val="24"/>
          <w:lang w:val="de-DE"/>
        </w:rPr>
        <w:t>Kooperation mit niederländischem Unternehmen NMI / Gesamtpaket zur Umsetzung des Eichrechts und der Ladensäulenverordnung / Technische Sicherheit und exakte Abrechnung / Zahlreiche Ladesäulen noch nicht gesetz</w:t>
      </w:r>
      <w:r>
        <w:rPr>
          <w:sz w:val="24"/>
          <w:szCs w:val="24"/>
          <w:lang w:val="de-DE"/>
        </w:rPr>
        <w:t xml:space="preserve">eskonform geeicht / </w:t>
      </w:r>
      <w:r>
        <w:rPr>
          <w:rFonts w:cs="Arial"/>
          <w:bCs/>
          <w:sz w:val="24"/>
          <w:szCs w:val="24"/>
          <w:lang w:val="de-DE"/>
        </w:rPr>
        <w:t xml:space="preserve"> </w:t>
      </w:r>
      <w:hyperlink r:id="rId3">
        <w:r>
          <w:rPr>
            <w:rStyle w:val="EnlacedeInternet"/>
            <w:rFonts w:cs="Arial"/>
            <w:bCs/>
            <w:sz w:val="24"/>
            <w:szCs w:val="24"/>
            <w:lang w:val="de-DE"/>
          </w:rPr>
          <w:t>www.tuv.com/germany/de/prüfung-von-e-ladestationen</w:t>
        </w:r>
      </w:hyperlink>
    </w:p>
    <w:p>
      <w:pPr>
        <w:pStyle w:val="Normal"/>
        <w:rPr>
          <w:sz w:val="24"/>
          <w:szCs w:val="24"/>
          <w:lang w:val="de-DE"/>
        </w:rPr>
      </w:pPr>
      <w:r>
        <w:rPr>
          <w:sz w:val="24"/>
          <w:szCs w:val="24"/>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lang w:val="de-DE"/>
        </w:rPr>
      </w:pPr>
      <w:r>
        <w:rPr>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808080" w:themeColor="background1" w:themeShade="80"/>
          <w:lang w:val="de-DE"/>
        </w:rPr>
      </w:pPr>
      <w:r>
        <w:rPr>
          <w:color w:val="808080" w:themeColor="background1" w:themeShade="80"/>
          <w:lang w:val="de-DE"/>
        </w:rPr>
      </w:r>
    </w:p>
    <w:p>
      <w:pPr>
        <w:pStyle w:val="Normal"/>
        <w:rPr>
          <w:lang w:val="de-DE"/>
        </w:rPr>
      </w:pPr>
      <w:r>
        <w:rPr>
          <w:color w:val="0071B9"/>
          <w:lang w:val="de-DE"/>
        </w:rPr>
        <w:t xml:space="preserve">Ihr Kontakt für redaktionelle Fragen: </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rPr>
      </w:pPr>
      <w:r>
        <w:rPr>
          <w:b/>
          <w:bCs/>
          <w:color w:val="808080" w:themeColor="background1" w:themeShade="80"/>
          <w:lang w:val="de-DE"/>
        </w:rPr>
        <w:t>Pressestelle TÜV Rheinland</w:t>
      </w:r>
      <w:r>
        <w:rPr>
          <w:color w:val="808080" w:themeColor="background1" w:themeShade="80"/>
          <w:lang w:val="de-DE"/>
        </w:rPr>
        <w:t>, Tel.: +49 2 21/8 06-21 48</w:t>
      </w:r>
    </w:p>
    <w:p>
      <w:pPr>
        <w:pStyle w:val="Normal"/>
        <w:rPr>
          <w:color w:val="808080" w:themeColor="background1" w:themeShade="80"/>
        </w:rPr>
      </w:pPr>
      <w:r>
        <w:rPr>
          <w:color w:val="808080" w:themeColor="background1" w:themeShade="80"/>
          <w:lang w:val="de-DE"/>
        </w:rPr>
        <w:t xml:space="preserve">Die aktuellen Presseinformationen sowie themenbezogene Fotos und Videos erhalten Sie auch per </w:t>
      </w:r>
    </w:p>
    <w:p>
      <w:pPr>
        <w:pStyle w:val="Normal"/>
        <w:rPr>
          <w:color w:val="808080" w:themeColor="background1" w:themeShade="80"/>
        </w:rPr>
      </w:pPr>
      <w:r>
        <w:rPr>
          <w:color w:val="808080" w:themeColor="background1" w:themeShade="80"/>
          <w:lang w:val="de-DE"/>
        </w:rPr>
        <w:t>E-Mail über presse@de.tuv.com sowie im Internet: presse.tuv.com und www.twitter.com/tuvcom_presse</w:t>
      </w:r>
    </w:p>
    <w:p>
      <w:pPr>
        <w:pStyle w:val="Normal"/>
        <w:rPr>
          <w:color w:val="808080" w:themeColor="background1" w:themeShade="80"/>
          <w:lang w:val="de-DE"/>
        </w:rPr>
      </w:pPr>
      <w:r>
        <w:rPr>
          <w:color w:val="808080" w:themeColor="background1" w:themeShade="80"/>
          <w:lang w:val="de-DE"/>
        </w:rPr>
      </w:r>
    </w:p>
    <w:p>
      <w:pPr>
        <w:pStyle w:val="Normal"/>
        <w:rPr>
          <w:color w:val="808080" w:themeColor="background1" w:themeShade="80"/>
          <w:lang w:val="de-DE"/>
        </w:rPr>
      </w:pPr>
      <w:r>
        <w:rPr>
          <w:color w:val="808080" w:themeColor="background1" w:themeShade="80"/>
          <w:lang w:val="de-DE"/>
        </w:rPr>
      </w:r>
    </w:p>
    <w:p>
      <w:pPr>
        <w:pStyle w:val="Normal"/>
        <w:spacing w:lineRule="auto" w:line="360"/>
        <w:ind w:right="1251" w:hanging="0"/>
        <w:rPr/>
      </w:pPr>
      <w:r>
        <w:rPr>
          <w:rFonts w:cs="Arial"/>
          <w:sz w:val="24"/>
          <w:szCs w:val="24"/>
          <w:lang w:val="de-DE"/>
        </w:rPr>
        <w:t xml:space="preserve">Die Zahl der öffentlich zugänglichen Ladestationen für E-Fahrzeuge wächst beständig. Doch ein großer Teil der mehr als 65.000 Ladepunkte in Deutschland ist bislang noch nicht geeicht. Wer diese Ladesäulen nutzt, kann sich deshalb nicht darauf verlassen, dass nur die Strommenge berechnet wird, die tatsächlich auch geladen worden ist. Die jetzt zwischen TÜV Rheinland und dem niederländischen Unternehmen NMI vereinbarte Partnerschaft schafft hierfür künftig verlässliche Voraussetzungen. „Durch die Kooperation mit NMI können wir den Betreibern von Ladestationen einen kompletten Prüfservice anbieten“, sagt Roman Brück, Teamleiter Power Electronic bei TÜV Rheinland. „NMI ist einer der führenden unabhängigen Spezialisten für gesetzeskonforme Test- und Inspektionsdienste in der Messtechnik. Als zwei Unternehmen, die beide die gleichen Prüf- und Qualitätsansprüche haben, können wir damit sowohl in Deutschland als auch global einen wichtigen Beitrag zur Eichrechtskonformität von Ladesäulen leisten.“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b/>
          <w:color w:val="0071B9"/>
          <w:sz w:val="24"/>
          <w:szCs w:val="24"/>
          <w:lang w:val="de-DE"/>
        </w:rPr>
        <w:t>Sichere Ladesäulen und korrekte Abrechnungen</w:t>
      </w:r>
    </w:p>
    <w:p>
      <w:pPr>
        <w:pStyle w:val="Normal"/>
        <w:spacing w:lineRule="auto" w:line="360"/>
        <w:ind w:right="1251" w:hanging="0"/>
        <w:rPr/>
      </w:pPr>
      <w:r>
        <w:rPr>
          <w:rFonts w:cs="Arial"/>
          <w:sz w:val="24"/>
          <w:szCs w:val="24"/>
          <w:lang w:val="de-DE"/>
        </w:rPr>
        <w:t xml:space="preserve">Dass Ladesäulen dem Eichrecht unterliegen, ist in Deutschland seit April 2020 gesetzlich vorgeschrieben. Dazu gehört unter anderem, dass Kunden über das Display der Ladesäule informiert werden, wie viel elektrische Energie sie beziehen, wie lange der Ladevorgang dauert und wie viel eine Kilowattstunde (kWh) kostet. Das Gesamtpaket der Partnerschaft von NMI und TÜV Rheinland enthält darüber hinaus auch sämtliche in der Ladesäulenverordnung vorgeschriebenen Prüfungen.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Das „One Step-Testing“ für die Betreiber umfasst neben der Prüfung auf elektromagnetische Verträglichkeit (EMV) auch sämtliche Sicherheitsprüfungen bis hin zum Netzanschluss. Damit wird vermieden, dass fehlerhafte Ladestationen zu Netzüberlastungen, Anlagen- und Systemausfällen und zur Gefährdung von Personen führen. „Verstöße gegen das Eichrecht und die Ladesäulenverordnung können mit einem Bußgeld von bis zu 50.000 Euro geahndet werden. Um den gewünschten schnellen Ausbau der Ladeinfrastruktur zu erreichen, wird seitens der Behörden bislang jedoch auf Sanktionen für die Betreiber von nicht geeichten Ladesäulen verzichtet“, erklärt TÜV Rheinland-Experte Roman Brück. </w:t>
      </w:r>
    </w:p>
    <w:p>
      <w:pPr>
        <w:pStyle w:val="Normal"/>
        <w:spacing w:lineRule="auto" w:line="360"/>
        <w:ind w:right="1251" w:hanging="0"/>
        <w:rPr>
          <w:rFonts w:cs="Arial"/>
          <w:sz w:val="24"/>
          <w:szCs w:val="24"/>
          <w:lang w:val="de-DE"/>
        </w:rPr>
      </w:pPr>
      <w:r>
        <w:rPr/>
      </w:r>
    </w:p>
    <w:p>
      <w:pPr>
        <w:pStyle w:val="Normal"/>
        <w:spacing w:lineRule="auto" w:line="360"/>
        <w:ind w:right="1251" w:hanging="0"/>
        <w:rPr/>
      </w:pPr>
      <w:r>
        <w:rPr>
          <w:rFonts w:cs="Arial"/>
          <w:sz w:val="24"/>
          <w:szCs w:val="24"/>
          <w:lang w:val="de-DE"/>
        </w:rPr>
        <w:t xml:space="preserve">Weitere Informationen </w:t>
      </w:r>
      <w:r>
        <w:rPr>
          <w:rFonts w:cs="Arial"/>
          <w:sz w:val="24"/>
          <w:szCs w:val="24"/>
          <w:lang w:val="de-DE"/>
        </w:rPr>
        <w:t xml:space="preserve">unter </w:t>
      </w:r>
      <w:hyperlink r:id="rId4">
        <w:r>
          <w:rPr>
            <w:rStyle w:val="EnlacedeInternet"/>
            <w:rFonts w:cs="Arial"/>
            <w:bCs/>
            <w:sz w:val="24"/>
            <w:szCs w:val="24"/>
            <w:lang w:val="de-DE"/>
          </w:rPr>
          <w:t>www.tuv.com/germany/de/prüfung-von-e-ladestation</w:t>
        </w:r>
        <w:bookmarkStart w:id="0" w:name="_GoBack"/>
        <w:bookmarkEnd w:id="0"/>
        <w:r>
          <w:rPr>
            <w:rStyle w:val="EnlacedeInternet"/>
            <w:rFonts w:cs="Arial"/>
            <w:bCs/>
            <w:sz w:val="24"/>
            <w:szCs w:val="24"/>
            <w:lang w:val="de-DE"/>
          </w:rPr>
          <w:t>en.html</w:t>
        </w:r>
      </w:hyperlink>
      <w:r>
        <w:rPr>
          <w:rFonts w:cs="Arial"/>
          <w:bCs/>
          <w:sz w:val="24"/>
          <w:szCs w:val="24"/>
          <w:lang w:val="de-DE"/>
        </w:rPr>
        <w:t xml:space="preserve"> bei TÜV Rheinland.</w:t>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spacing w:lineRule="auto" w:line="360"/>
        <w:ind w:right="1251" w:hanging="0"/>
        <w:rPr>
          <w:rFonts w:cs="Arial"/>
          <w:sz w:val="24"/>
          <w:szCs w:val="24"/>
          <w:lang w:val="de-DE"/>
        </w:rPr>
      </w:pPr>
      <w:r>
        <w:rPr>
          <w:rFonts w:cs="Arial"/>
          <w:sz w:val="24"/>
          <w:szCs w:val="24"/>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color w:val="0071B9"/>
          <w:lang w:val="de-DE"/>
        </w:rPr>
      </w:pPr>
      <w:r>
        <w:rPr>
          <w:color w:val="0071B9"/>
          <w:lang w:val="de-DE"/>
        </w:rPr>
      </w:r>
    </w:p>
    <w:p>
      <w:pPr>
        <w:pStyle w:val="Normal"/>
        <w:rPr>
          <w:iCs/>
          <w:color w:val="595959" w:themeColor="text1" w:themeTint="a6"/>
          <w:sz w:val="18"/>
          <w:szCs w:val="20"/>
          <w:lang w:val="de-DE"/>
        </w:rPr>
      </w:pPr>
      <w:r>
        <w:rPr>
          <w:iCs/>
          <w:color w:val="595959" w:themeColor="text1" w:themeTint="a6"/>
          <w:sz w:val="18"/>
          <w:szCs w:val="20"/>
          <w:lang w:val="de-DE"/>
        </w:rPr>
      </w:r>
    </w:p>
    <w:p>
      <w:pPr>
        <w:pStyle w:val="Normal"/>
        <w:rPr>
          <w:iCs/>
          <w:color w:val="595959" w:themeColor="text1" w:themeTint="a6"/>
          <w:sz w:val="18"/>
          <w:szCs w:val="20"/>
          <w:lang w:val="de-DE"/>
        </w:rPr>
      </w:pPr>
      <w:r>
        <w:rPr>
          <w:iCs/>
          <w:color w:val="595959" w:themeColor="text1" w:themeTint="a6"/>
          <w:sz w:val="18"/>
          <w:szCs w:val="20"/>
          <w:lang w:val="de-DE"/>
        </w:rPr>
      </w:r>
    </w:p>
    <w:p>
      <w:pPr>
        <w:pStyle w:val="Normal"/>
        <w:widowControl w:val="false"/>
        <w:tabs>
          <w:tab w:val="left" w:pos="7380" w:leader="none"/>
        </w:tabs>
        <w:spacing w:lineRule="auto" w:line="276"/>
        <w:ind w:right="1692" w:hanging="0"/>
        <w:rPr/>
      </w:pPr>
      <w:r>
        <w:rPr>
          <w:iCs/>
          <w:color w:val="595959" w:themeColor="text1" w:themeTint="a6"/>
          <w:sz w:val="18"/>
          <w:szCs w:val="20"/>
          <w:lang w:val="de-DE"/>
        </w:rPr>
        <w:t>150 Jahre im Zeichen der Sicherheit: Seit 1872 stellt sich TÜV Rheinland der Aufgabe, Technik für Mensch und Umwelt sicher zu machen. Von der Dampfmaschine bis zur Digitalisierung: Aus den Anfängen als „Verein zur Überwachung der Dampfkessel in den Kreisen Elberfeld und Barmen“ ist ein weltweit tätiger Prüfdienstleister geworden, der in nahezu allen Wirtschafts- und Lebensbereichen für Sicherheit und Qualität sorgt. Diese Verantwortung verbindet heute mehr als 20.000 Mitarbeiterinnen und Mitarbeiter. Sie erwirtschaften einen Jahresumsatz von rund 2,1 Milliarden Euro. Die Expertinnen und Experten von TÜV Rheinland prüfen rund um den Globus technische Anlagen und Produkte, begleiten Innnovationen in Technik und Wirtschaft, trainieren Menschen in zahlreichen Berufen und zertifizieren Managementsysteme nach internationalen Standards. Mit Sicherheit und Nachhaltigkeit gestaltet TÜV Rheinland auch die Zukunft. Seit 2006 ist TÜV Rheinland deshalb Mitglied im Global Compact der Vereinten Nationen für mehr Nachhaltigkeit und gegen Korruption. Website</w:t>
      </w:r>
      <w:r>
        <w:rPr>
          <w:iCs/>
          <w:color w:val="999999" w:themeTint="a6"/>
          <w:sz w:val="18"/>
          <w:szCs w:val="20"/>
          <w:lang w:val="de-DE"/>
        </w:rPr>
        <w:t xml:space="preserve">: </w:t>
      </w:r>
      <w:hyperlink r:id="rId5">
        <w:r>
          <w:rPr>
            <w:rStyle w:val="EnlacedeInternet"/>
            <w:iCs/>
            <w:color w:val="595959" w:themeColor="text1" w:themeTint="a6"/>
            <w:sz w:val="18"/>
            <w:szCs w:val="20"/>
            <w:lang w:val="de-DE"/>
          </w:rPr>
          <w:t>www.tuv.com</w:t>
        </w:r>
      </w:hyperlink>
    </w:p>
    <w:sectPr>
      <w:footerReference w:type="default" r:id="rId6"/>
      <w:type w:val="nextPage"/>
      <w:pgSz w:w="11906" w:h="16838"/>
      <w:pgMar w:left="1417" w:right="1417" w:header="0"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lang w:val="de-DE"/>
      </w:rPr>
    </w:pPr>
    <w:r>
      <w:drawing>
        <wp:anchor behindDoc="1" distT="0" distB="7620" distL="114300" distR="114300" simplePos="0" locked="0" layoutInCell="1" allowOverlap="1" relativeHeight="4">
          <wp:simplePos x="0" y="0"/>
          <wp:positionH relativeFrom="margin">
            <wp:posOffset>4688205</wp:posOffset>
          </wp:positionH>
          <wp:positionV relativeFrom="margin">
            <wp:posOffset>9062085</wp:posOffset>
          </wp:positionV>
          <wp:extent cx="1336675" cy="334645"/>
          <wp:effectExtent l="0" t="0" r="0" b="0"/>
          <wp:wrapSquare wrapText="bothSides"/>
          <wp:docPr id="2" name="Grafik 4" descr="TÜV Rheinland Pr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4" descr="TÜV Rheinland Presse"/>
                  <pic:cNvPicPr>
                    <a:picLocks noChangeAspect="1" noChangeArrowheads="1"/>
                  </pic:cNvPicPr>
                </pic:nvPicPr>
                <pic:blipFill>
                  <a:blip r:embed="rId1"/>
                  <a:stretch>
                    <a:fillRect/>
                  </a:stretch>
                </pic:blipFill>
                <pic:spPr bwMode="auto">
                  <a:xfrm>
                    <a:off x="0" y="0"/>
                    <a:ext cx="1336675" cy="334645"/>
                  </a:xfrm>
                  <a:prstGeom prst="rect">
                    <a:avLst/>
                  </a:prstGeom>
                </pic:spPr>
              </pic:pic>
            </a:graphicData>
          </a:graphic>
        </wp:anchor>
      </w:drawing>
    </w:r>
    <w:r>
      <w:rPr>
        <w:color w:val="0071B9"/>
        <w:lang w:val="de-DE"/>
      </w:rPr>
      <w:t>w</w:t>
    </w:r>
    <w:r>
      <w:rPr>
        <w:color w:val="0071B9"/>
        <w:lang w:val="de-DE"/>
      </w:rPr>
      <w:t>ww.tuv.com</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ind w:left="432" w:hanging="432"/>
      </w:pPr>
    </w:lvl>
    <w:lvl w:ilvl="1">
      <w:start w:val="1"/>
      <w:pStyle w:val="Ttulo2"/>
      <w:numFmt w:val="decimal"/>
      <w:lvlText w:val="%1.%2"/>
      <w:lvlJc w:val="left"/>
      <w:pPr>
        <w:ind w:left="3979" w:hanging="576"/>
      </w:pPr>
    </w:lvl>
    <w:lvl w:ilvl="2">
      <w:start w:val="1"/>
      <w:pStyle w:val="Ttulo3"/>
      <w:numFmt w:val="decimal"/>
      <w:lvlText w:val="%1.%2.%3"/>
      <w:lvlJc w:val="left"/>
      <w:pPr>
        <w:ind w:left="720" w:hanging="720"/>
      </w:pPr>
    </w:lvl>
    <w:lvl w:ilvl="3">
      <w:start w:val="1"/>
      <w:pStyle w:val="Ttulo4"/>
      <w:numFmt w:val="decimal"/>
      <w:lvlText w:val="%1.%2.%3.%4"/>
      <w:lvlJc w:val="left"/>
      <w:pPr>
        <w:ind w:left="864" w:hanging="864"/>
      </w:pPr>
    </w:lvl>
    <w:lvl w:ilvl="4">
      <w:start w:val="1"/>
      <w:pStyle w:val="Ttulo5"/>
      <w:numFmt w:val="decimal"/>
      <w:lvlText w:val="%1.%2.%3.%4.%5"/>
      <w:lvlJc w:val="left"/>
      <w:pPr>
        <w:ind w:left="1008" w:hanging="1008"/>
      </w:pPr>
    </w:lvl>
    <w:lvl w:ilvl="5">
      <w:start w:val="1"/>
      <w:pStyle w:val="Ttulo6"/>
      <w:numFmt w:val="decimal"/>
      <w:lvlText w:val="%1.%2.%3.%4.%5.%6"/>
      <w:lvlJc w:val="left"/>
      <w:pPr>
        <w:ind w:left="1152" w:hanging="1152"/>
      </w:pPr>
    </w:lvl>
    <w:lvl w:ilvl="6">
      <w:start w:val="1"/>
      <w:pStyle w:val="Ttulo7"/>
      <w:numFmt w:val="decimal"/>
      <w:lvlText w:val="%1.%2.%3.%4.%5.%6.%7"/>
      <w:lvlJc w:val="left"/>
      <w:pPr>
        <w:ind w:left="1296" w:hanging="1296"/>
      </w:pPr>
    </w:lvl>
    <w:lvl w:ilvl="7">
      <w:start w:val="1"/>
      <w:pStyle w:val="Ttulo8"/>
      <w:numFmt w:val="decimal"/>
      <w:lvlText w:val="%1.%2.%3.%4.%5.%6.%7.%8"/>
      <w:lvlJc w:val="left"/>
      <w:pPr>
        <w:ind w:left="1440" w:hanging="1440"/>
      </w:pPr>
    </w:lvl>
    <w:lvl w:ilvl="8">
      <w:start w:val="1"/>
      <w:pStyle w:val="Ttulo9"/>
      <w:numFmt w:val="decimal"/>
      <w:lvlText w:val="%1.%2.%3.%4.%5.%6.%7.%8.%9"/>
      <w:lvlJc w:val="left"/>
      <w:pPr>
        <w:ind w:left="1584" w:hanging="1584"/>
      </w:pPr>
    </w:lvl>
  </w:abstractNum>
  <w:num w:numId="1">
    <w:abstractNumId w:val="1"/>
  </w:num>
</w:numbering>
</file>

<file path=word/settings.xml><?xml version="1.0" encoding="utf-8"?>
<w:settings xmlns:w="http://schemas.openxmlformats.org/wordprocessingml/2006/main">
  <w:zoom w:percent="13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0"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Ttulo1">
    <w:name w:val="Heading 1"/>
    <w:basedOn w:val="Normal"/>
    <w:next w:val="Normal"/>
    <w:link w:val="berschrift1Zchn"/>
    <w:uiPriority w:val="9"/>
    <w:qFormat/>
    <w:rsid w:val="00a7124b"/>
    <w:pPr>
      <w:keepNext w:val="true"/>
      <w:keepLines/>
      <w:numPr>
        <w:ilvl w:val="0"/>
        <w:numId w:val="1"/>
      </w:numPr>
      <w:spacing w:before="480" w:after="240"/>
      <w:outlineLvl w:val="0"/>
    </w:pPr>
    <w:rPr>
      <w:rFonts w:eastAsia="" w:cs="" w:cstheme="majorBidi" w:eastAsiaTheme="majorEastAsia"/>
      <w:b/>
      <w:bCs/>
      <w:sz w:val="28"/>
      <w:szCs w:val="28"/>
    </w:rPr>
  </w:style>
  <w:style w:type="paragraph" w:styleId="Ttulo2">
    <w:name w:val="Heading 2"/>
    <w:basedOn w:val="Normal"/>
    <w:next w:val="Normal"/>
    <w:link w:val="berschrift2Zchn"/>
    <w:uiPriority w:val="9"/>
    <w:unhideWhenUsed/>
    <w:qFormat/>
    <w:rsid w:val="00a7124b"/>
    <w:pPr>
      <w:keepNext w:val="true"/>
      <w:keepLines/>
      <w:numPr>
        <w:ilvl w:val="1"/>
        <w:numId w:val="1"/>
      </w:numPr>
      <w:spacing w:before="200" w:after="100"/>
      <w:ind w:left="578" w:hanging="578"/>
      <w:outlineLvl w:val="1"/>
    </w:pPr>
    <w:rPr>
      <w:rFonts w:eastAsia="" w:cs="" w:cstheme="majorBidi" w:eastAsiaTheme="majorEastAsia"/>
      <w:b/>
      <w:bCs/>
      <w:sz w:val="26"/>
      <w:szCs w:val="26"/>
    </w:rPr>
  </w:style>
  <w:style w:type="paragraph" w:styleId="Ttulo3">
    <w:name w:val="Heading 3"/>
    <w:basedOn w:val="Normal"/>
    <w:next w:val="Normal"/>
    <w:link w:val="berschrift3Zchn"/>
    <w:uiPriority w:val="9"/>
    <w:unhideWhenUsed/>
    <w:qFormat/>
    <w:rsid w:val="00a7124b"/>
    <w:pPr>
      <w:keepNext w:val="true"/>
      <w:keepLines/>
      <w:numPr>
        <w:ilvl w:val="2"/>
        <w:numId w:val="1"/>
      </w:numPr>
      <w:spacing w:before="200" w:after="100"/>
      <w:outlineLvl w:val="2"/>
    </w:pPr>
    <w:rPr>
      <w:rFonts w:eastAsia="" w:cs="" w:cstheme="majorBidi" w:eastAsiaTheme="majorEastAsia"/>
      <w:b/>
      <w:bCs/>
    </w:rPr>
  </w:style>
  <w:style w:type="paragraph" w:styleId="Ttulo4">
    <w:name w:val="Heading 4"/>
    <w:basedOn w:val="Normal"/>
    <w:next w:val="Normal"/>
    <w:link w:val="berschrift4Zchn"/>
    <w:uiPriority w:val="9"/>
    <w:unhideWhenUsed/>
    <w:qFormat/>
    <w:rsid w:val="00a7124b"/>
    <w:pPr>
      <w:keepNext w:val="true"/>
      <w:keepLines/>
      <w:numPr>
        <w:ilvl w:val="3"/>
        <w:numId w:val="1"/>
      </w:numPr>
      <w:spacing w:before="200" w:after="100"/>
      <w:outlineLvl w:val="3"/>
    </w:pPr>
    <w:rPr>
      <w:rFonts w:eastAsia="" w:cs="" w:cstheme="majorBidi" w:eastAsiaTheme="majorEastAsia"/>
      <w:b/>
      <w:bCs/>
      <w:i/>
      <w:iCs/>
    </w:rPr>
  </w:style>
  <w:style w:type="paragraph" w:styleId="Ttulo5">
    <w:name w:val="Heading 5"/>
    <w:basedOn w:val="Normal"/>
    <w:next w:val="Normal"/>
    <w:link w:val="berschrift5Zchn"/>
    <w:uiPriority w:val="9"/>
    <w:unhideWhenUsed/>
    <w:qFormat/>
    <w:rsid w:val="00a7124b"/>
    <w:pPr>
      <w:keepNext w:val="true"/>
      <w:keepLines/>
      <w:numPr>
        <w:ilvl w:val="4"/>
        <w:numId w:val="1"/>
      </w:numPr>
      <w:spacing w:before="200" w:after="100"/>
      <w:outlineLvl w:val="4"/>
    </w:pPr>
    <w:rPr>
      <w:rFonts w:eastAsia="" w:cs="" w:cstheme="majorBidi" w:eastAsiaTheme="majorEastAsia"/>
    </w:rPr>
  </w:style>
  <w:style w:type="paragraph" w:styleId="Ttulo6">
    <w:name w:val="Heading 6"/>
    <w:basedOn w:val="Normal"/>
    <w:next w:val="Normal"/>
    <w:link w:val="berschrift6Zchn"/>
    <w:uiPriority w:val="9"/>
    <w:semiHidden/>
    <w:unhideWhenUsed/>
    <w:qFormat/>
    <w:rsid w:val="00a7124b"/>
    <w:pPr>
      <w:keepNext w:val="true"/>
      <w:keepLines/>
      <w:numPr>
        <w:ilvl w:val="5"/>
        <w:numId w:val="1"/>
      </w:numPr>
      <w:spacing w:before="200" w:after="0"/>
      <w:outlineLvl w:val="5"/>
    </w:pPr>
    <w:rPr>
      <w:rFonts w:eastAsia="" w:cs="" w:cstheme="majorBidi" w:eastAsiaTheme="majorEastAsia"/>
      <w:i/>
      <w:iCs/>
    </w:rPr>
  </w:style>
  <w:style w:type="paragraph" w:styleId="Ttulo7">
    <w:name w:val="Heading 7"/>
    <w:basedOn w:val="Normal"/>
    <w:next w:val="Normal"/>
    <w:link w:val="berschrift7Zchn"/>
    <w:uiPriority w:val="9"/>
    <w:semiHidden/>
    <w:unhideWhenUsed/>
    <w:qFormat/>
    <w:rsid w:val="00a7124b"/>
    <w:pPr>
      <w:keepNext w:val="true"/>
      <w:keepLines/>
      <w:numPr>
        <w:ilvl w:val="6"/>
        <w:numId w:val="1"/>
      </w:numPr>
      <w:spacing w:before="200" w:after="0"/>
      <w:outlineLvl w:val="6"/>
    </w:pPr>
    <w:rPr>
      <w:rFonts w:eastAsia="" w:cs="" w:cstheme="majorBidi" w:eastAsiaTheme="majorEastAsia"/>
      <w:i/>
      <w:iCs/>
    </w:rPr>
  </w:style>
  <w:style w:type="paragraph" w:styleId="Ttulo8">
    <w:name w:val="Heading 8"/>
    <w:basedOn w:val="Normal"/>
    <w:next w:val="Normal"/>
    <w:link w:val="berschrift8Zchn"/>
    <w:uiPriority w:val="9"/>
    <w:semiHidden/>
    <w:unhideWhenUsed/>
    <w:qFormat/>
    <w:rsid w:val="00a7124b"/>
    <w:pPr>
      <w:keepNext w:val="true"/>
      <w:keepLines/>
      <w:numPr>
        <w:ilvl w:val="7"/>
        <w:numId w:val="1"/>
      </w:numPr>
      <w:spacing w:before="200" w:after="0"/>
      <w:outlineLvl w:val="7"/>
    </w:pPr>
    <w:rPr>
      <w:rFonts w:eastAsia="" w:cs="" w:cstheme="majorBidi" w:eastAsiaTheme="majorEastAsia"/>
      <w:szCs w:val="20"/>
    </w:rPr>
  </w:style>
  <w:style w:type="paragraph" w:styleId="Ttulo9">
    <w:name w:val="Heading 9"/>
    <w:basedOn w:val="Normal"/>
    <w:next w:val="Normal"/>
    <w:link w:val="berschrift9Zchn"/>
    <w:uiPriority w:val="9"/>
    <w:semiHidden/>
    <w:unhideWhenUsed/>
    <w:qFormat/>
    <w:rsid w:val="00a7124b"/>
    <w:pPr>
      <w:keepNext w:val="true"/>
      <w:keepLines/>
      <w:numPr>
        <w:ilvl w:val="8"/>
        <w:numId w:val="1"/>
      </w:numPr>
      <w:spacing w:before="200" w:after="0"/>
      <w:outlineLvl w:val="8"/>
    </w:pPr>
    <w:rPr>
      <w:rFonts w:ascii="Cambria" w:hAnsi="Cambria" w:eastAsia="" w:cs="" w:asciiTheme="majorHAnsi" w:cstheme="majorBidi" w:eastAsiaTheme="majorEastAsia" w:hAnsiTheme="majorHAnsi"/>
      <w:i/>
      <w:iCs/>
      <w:color w:val="404040" w:themeColor="text1" w:themeTint="bf"/>
      <w:szCs w:val="20"/>
    </w:rPr>
  </w:style>
  <w:style w:type="character" w:styleId="DefaultParagraphFont" w:default="1">
    <w:name w:val="Default Paragraph Font"/>
    <w:uiPriority w:val="1"/>
    <w:semiHidden/>
    <w:unhideWhenUsed/>
    <w:qFormat/>
    <w:rPr/>
  </w:style>
  <w:style w:type="character" w:styleId="Berschrift1Zchn" w:customStyle="1">
    <w:name w:val="Überschrift 1 Zchn"/>
    <w:basedOn w:val="DefaultParagraphFont"/>
    <w:link w:val="berschrift1"/>
    <w:uiPriority w:val="9"/>
    <w:qFormat/>
    <w:rsid w:val="00d23ec5"/>
    <w:rPr>
      <w:rFonts w:ascii="Arial" w:hAnsi="Arial" w:eastAsia="" w:cs="" w:cstheme="majorBidi" w:eastAsiaTheme="majorEastAsia"/>
      <w:b/>
      <w:bCs/>
      <w:sz w:val="28"/>
      <w:szCs w:val="28"/>
    </w:rPr>
  </w:style>
  <w:style w:type="character" w:styleId="Berschrift2Zchn" w:customStyle="1">
    <w:name w:val="Überschrift 2 Zchn"/>
    <w:basedOn w:val="DefaultParagraphFont"/>
    <w:link w:val="berschrift2"/>
    <w:uiPriority w:val="9"/>
    <w:qFormat/>
    <w:rsid w:val="00a7124b"/>
    <w:rPr>
      <w:rFonts w:ascii="Arial" w:hAnsi="Arial" w:eastAsia="" w:cs="" w:cstheme="majorBidi" w:eastAsiaTheme="majorEastAsia"/>
      <w:b/>
      <w:bCs/>
      <w:sz w:val="26"/>
      <w:szCs w:val="26"/>
    </w:rPr>
  </w:style>
  <w:style w:type="character" w:styleId="Berschrift3Zchn" w:customStyle="1">
    <w:name w:val="Überschrift 3 Zchn"/>
    <w:basedOn w:val="DefaultParagraphFont"/>
    <w:link w:val="berschrift3"/>
    <w:uiPriority w:val="9"/>
    <w:qFormat/>
    <w:rsid w:val="00d23ec5"/>
    <w:rPr>
      <w:rFonts w:ascii="Arial" w:hAnsi="Arial" w:eastAsia="" w:cs="" w:cstheme="majorBidi" w:eastAsiaTheme="majorEastAsia"/>
      <w:b/>
      <w:bCs/>
      <w:sz w:val="20"/>
    </w:rPr>
  </w:style>
  <w:style w:type="character" w:styleId="UntertitelZchn" w:customStyle="1">
    <w:name w:val="Untertitel Zchn"/>
    <w:basedOn w:val="DefaultParagraphFont"/>
    <w:link w:val="Untertitel"/>
    <w:uiPriority w:val="11"/>
    <w:qFormat/>
    <w:rsid w:val="00d23ec5"/>
    <w:rPr>
      <w:rFonts w:ascii="Arial" w:hAnsi="Arial" w:eastAsia="" w:cs="" w:cstheme="majorBidi" w:eastAsiaTheme="majorEastAsia"/>
      <w:i/>
      <w:iCs/>
      <w:spacing w:val="15"/>
      <w:sz w:val="24"/>
      <w:szCs w:val="24"/>
    </w:rPr>
  </w:style>
  <w:style w:type="character" w:styleId="Berschrift9Zchn" w:customStyle="1">
    <w:name w:val="Überschrift 9 Zchn"/>
    <w:basedOn w:val="DefaultParagraphFont"/>
    <w:link w:val="berschrift9"/>
    <w:uiPriority w:val="9"/>
    <w:semiHidden/>
    <w:qFormat/>
    <w:rsid w:val="00d23ec5"/>
    <w:rPr>
      <w:rFonts w:ascii="Cambria" w:hAnsi="Cambria" w:eastAsia="" w:cs="" w:asciiTheme="majorHAnsi" w:cstheme="majorBidi" w:eastAsiaTheme="majorEastAsia" w:hAnsiTheme="majorHAnsi"/>
      <w:i/>
      <w:iCs/>
      <w:color w:val="404040" w:themeColor="text1" w:themeTint="bf"/>
      <w:sz w:val="20"/>
      <w:szCs w:val="20"/>
    </w:rPr>
  </w:style>
  <w:style w:type="character" w:styleId="DokumentstrukturZchn" w:customStyle="1">
    <w:name w:val="Dokumentstruktur Zchn"/>
    <w:basedOn w:val="DefaultParagraphFont"/>
    <w:link w:val="Dokumentstruktur"/>
    <w:uiPriority w:val="99"/>
    <w:semiHidden/>
    <w:qFormat/>
    <w:rsid w:val="00d23ec5"/>
    <w:rPr>
      <w:rFonts w:ascii="Arial" w:hAnsi="Arial" w:cs="Tahoma"/>
      <w:sz w:val="16"/>
      <w:szCs w:val="16"/>
    </w:rPr>
  </w:style>
  <w:style w:type="character" w:styleId="IntenseEmphasis">
    <w:name w:val="Intense Emphasis"/>
    <w:basedOn w:val="DefaultParagraphFont"/>
    <w:uiPriority w:val="21"/>
    <w:qFormat/>
    <w:rsid w:val="00d23ec5"/>
    <w:rPr>
      <w:b/>
      <w:bCs/>
      <w:i/>
      <w:iCs/>
      <w:color w:val="auto"/>
    </w:rPr>
  </w:style>
  <w:style w:type="character" w:styleId="SprechblasentextZchn" w:customStyle="1">
    <w:name w:val="Sprechblasentext Zchn"/>
    <w:basedOn w:val="DefaultParagraphFont"/>
    <w:link w:val="Sprechblasentext"/>
    <w:uiPriority w:val="99"/>
    <w:semiHidden/>
    <w:qFormat/>
    <w:rsid w:val="00d23ec5"/>
    <w:rPr>
      <w:rFonts w:ascii="Arial" w:hAnsi="Arial" w:cs="Tahoma"/>
      <w:sz w:val="16"/>
      <w:szCs w:val="16"/>
    </w:rPr>
  </w:style>
  <w:style w:type="character" w:styleId="TitelZchn" w:customStyle="1">
    <w:name w:val="Titel Zchn"/>
    <w:basedOn w:val="DefaultParagraphFont"/>
    <w:link w:val="Titel"/>
    <w:uiPriority w:val="10"/>
    <w:qFormat/>
    <w:rsid w:val="00d23ec5"/>
    <w:rPr>
      <w:rFonts w:ascii="Arial" w:hAnsi="Arial" w:eastAsia="" w:cs="" w:cstheme="majorBidi" w:eastAsiaTheme="majorEastAsia"/>
      <w:spacing w:val="5"/>
      <w:kern w:val="2"/>
      <w:sz w:val="52"/>
      <w:szCs w:val="52"/>
    </w:rPr>
  </w:style>
  <w:style w:type="character" w:styleId="Berschrift4Zchn" w:customStyle="1">
    <w:name w:val="Überschrift 4 Zchn"/>
    <w:basedOn w:val="DefaultParagraphFont"/>
    <w:link w:val="berschrift4"/>
    <w:uiPriority w:val="9"/>
    <w:qFormat/>
    <w:rsid w:val="00d23ec5"/>
    <w:rPr>
      <w:rFonts w:ascii="Arial" w:hAnsi="Arial" w:eastAsia="" w:cs="" w:cstheme="majorBidi" w:eastAsiaTheme="majorEastAsia"/>
      <w:b/>
      <w:bCs/>
      <w:i/>
      <w:iCs/>
      <w:sz w:val="20"/>
    </w:rPr>
  </w:style>
  <w:style w:type="character" w:styleId="Berschrift5Zchn" w:customStyle="1">
    <w:name w:val="Überschrift 5 Zchn"/>
    <w:basedOn w:val="DefaultParagraphFont"/>
    <w:link w:val="berschrift5"/>
    <w:uiPriority w:val="9"/>
    <w:qFormat/>
    <w:rsid w:val="00d23ec5"/>
    <w:rPr>
      <w:rFonts w:ascii="Arial" w:hAnsi="Arial" w:eastAsia="" w:cs="" w:cstheme="majorBidi" w:eastAsiaTheme="majorEastAsia"/>
      <w:sz w:val="20"/>
    </w:rPr>
  </w:style>
  <w:style w:type="character" w:styleId="Berschrift6Zchn" w:customStyle="1">
    <w:name w:val="Überschrift 6 Zchn"/>
    <w:basedOn w:val="DefaultParagraphFont"/>
    <w:link w:val="berschrift6"/>
    <w:uiPriority w:val="9"/>
    <w:semiHidden/>
    <w:qFormat/>
    <w:rsid w:val="00d23ec5"/>
    <w:rPr>
      <w:rFonts w:ascii="Arial" w:hAnsi="Arial" w:eastAsia="" w:cs="" w:cstheme="majorBidi" w:eastAsiaTheme="majorEastAsia"/>
      <w:i/>
      <w:iCs/>
      <w:sz w:val="20"/>
    </w:rPr>
  </w:style>
  <w:style w:type="character" w:styleId="Berschrift7Zchn" w:customStyle="1">
    <w:name w:val="Überschrift 7 Zchn"/>
    <w:basedOn w:val="DefaultParagraphFont"/>
    <w:link w:val="berschrift7"/>
    <w:uiPriority w:val="9"/>
    <w:semiHidden/>
    <w:qFormat/>
    <w:rsid w:val="00d23ec5"/>
    <w:rPr>
      <w:rFonts w:ascii="Arial" w:hAnsi="Arial" w:eastAsia="" w:cs="" w:cstheme="majorBidi" w:eastAsiaTheme="majorEastAsia"/>
      <w:i/>
      <w:iCs/>
      <w:sz w:val="20"/>
    </w:rPr>
  </w:style>
  <w:style w:type="character" w:styleId="Berschrift8Zchn" w:customStyle="1">
    <w:name w:val="Überschrift 8 Zchn"/>
    <w:basedOn w:val="DefaultParagraphFont"/>
    <w:link w:val="berschrift8"/>
    <w:uiPriority w:val="9"/>
    <w:semiHidden/>
    <w:qFormat/>
    <w:rsid w:val="00d23ec5"/>
    <w:rPr>
      <w:rFonts w:ascii="Arial" w:hAnsi="Arial" w:eastAsia="" w:cs="" w:cstheme="majorBidi" w:eastAsiaTheme="majorEastAsia"/>
      <w:sz w:val="20"/>
      <w:szCs w:val="20"/>
    </w:rPr>
  </w:style>
  <w:style w:type="character" w:styleId="Destacado">
    <w:name w:val="Destacado"/>
    <w:basedOn w:val="DefaultParagraphFont"/>
    <w:uiPriority w:val="20"/>
    <w:qFormat/>
    <w:rsid w:val="00d23ec5"/>
    <w:rPr>
      <w:i/>
      <w:iCs/>
    </w:rPr>
  </w:style>
  <w:style w:type="character" w:styleId="SubtleEmphasis">
    <w:name w:val="Subtle Emphasis"/>
    <w:basedOn w:val="DefaultParagraphFont"/>
    <w:uiPriority w:val="19"/>
    <w:qFormat/>
    <w:rsid w:val="00d23ec5"/>
    <w:rPr>
      <w:i/>
      <w:iCs/>
      <w:color w:val="808080" w:themeColor="text1" w:themeTint="7f"/>
    </w:rPr>
  </w:style>
  <w:style w:type="character" w:styleId="FuzeileZchn" w:customStyle="1">
    <w:name w:val="Fußzeile Zchn"/>
    <w:basedOn w:val="DefaultParagraphFont"/>
    <w:link w:val="Fuzeile"/>
    <w:uiPriority w:val="99"/>
    <w:qFormat/>
    <w:rsid w:val="00d23ec5"/>
    <w:rPr>
      <w:rFonts w:ascii="Arial" w:hAnsi="Arial"/>
      <w:sz w:val="20"/>
    </w:rPr>
  </w:style>
  <w:style w:type="character" w:styleId="EnlacedeInternet">
    <w:name w:val="Enlace de Internet"/>
    <w:basedOn w:val="DefaultParagraphFont"/>
    <w:uiPriority w:val="99"/>
    <w:unhideWhenUsed/>
    <w:rsid w:val="00d23ec5"/>
    <w:rPr>
      <w:color w:val="0000FF" w:themeColor="hyperlink"/>
      <w:u w:val="single"/>
    </w:rPr>
  </w:style>
  <w:style w:type="character" w:styleId="KopfzeileZchn" w:customStyle="1">
    <w:name w:val="Kopfzeile Zchn"/>
    <w:basedOn w:val="DefaultParagraphFont"/>
    <w:link w:val="Kopfzeile"/>
    <w:qFormat/>
    <w:rsid w:val="00d23ec5"/>
    <w:rPr>
      <w:rFonts w:ascii="Arial" w:hAnsi="Arial"/>
      <w:sz w:val="20"/>
    </w:rPr>
  </w:style>
  <w:style w:type="character" w:styleId="UnterschriftZchn" w:customStyle="1">
    <w:name w:val="Unterschrift Zchn"/>
    <w:basedOn w:val="DefaultParagraphFont"/>
    <w:link w:val="Unterschrift"/>
    <w:qFormat/>
    <w:rsid w:val="00d23ec5"/>
    <w:rPr>
      <w:rFonts w:ascii="Arial" w:hAnsi="Arial" w:eastAsia="Times New Roman" w:cs="Times New Roman"/>
      <w:sz w:val="16"/>
      <w:szCs w:val="24"/>
      <w:lang w:eastAsia="de-D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sz w:val="24"/>
    </w:rPr>
  </w:style>
  <w:style w:type="character" w:styleId="ListLabel14">
    <w:name w:val="ListLabel 14"/>
    <w:qFormat/>
    <w:rPr>
      <w:iCs/>
      <w:color w:val="595959" w:themeColor="text1" w:themeTint="a6"/>
      <w:sz w:val="18"/>
      <w:szCs w:val="20"/>
    </w:rPr>
  </w:style>
  <w:style w:type="character" w:styleId="ListLabel15">
    <w:name w:val="ListLabel 15"/>
    <w:qFormat/>
    <w:rPr>
      <w:sz w:val="24"/>
    </w:rPr>
  </w:style>
  <w:style w:type="character" w:styleId="ListLabel16">
    <w:name w:val="ListLabel 16"/>
    <w:qFormat/>
    <w:rPr>
      <w:iCs/>
      <w:color w:val="595959" w:themeColor="text1" w:themeTint="a6"/>
      <w:sz w:val="18"/>
      <w:szCs w:val="20"/>
    </w:rPr>
  </w:style>
  <w:style w:type="character" w:styleId="ListLabel17">
    <w:name w:val="ListLabel 17"/>
    <w:qFormat/>
    <w:rPr>
      <w:sz w:val="24"/>
    </w:rPr>
  </w:style>
  <w:style w:type="character" w:styleId="ListLabel18">
    <w:name w:val="ListLabel 18"/>
    <w:qFormat/>
    <w:rPr>
      <w:iCs/>
      <w:color w:val="595959" w:themeColor="text1" w:themeTint="a6"/>
      <w:sz w:val="18"/>
      <w:szCs w:val="20"/>
    </w:rPr>
  </w:style>
  <w:style w:type="character" w:styleId="ListLabel37">
    <w:name w:val="ListLabel 37"/>
    <w:qFormat/>
    <w:rPr>
      <w:rFonts w:ascii="Arial" w:hAnsi="Arial" w:cs="Arial"/>
      <w:sz w:val="20"/>
      <w:szCs w:val="20"/>
    </w:rPr>
  </w:style>
  <w:style w:type="character" w:styleId="ListLabel38">
    <w:name w:val="ListLabel 38"/>
    <w:qFormat/>
    <w:rPr>
      <w:rFonts w:ascii="Arial" w:hAnsi="Arial" w:cs="Arial"/>
      <w:bCs/>
      <w:sz w:val="20"/>
      <w:szCs w:val="20"/>
    </w:rPr>
  </w:style>
  <w:style w:type="character" w:styleId="ListLabel39">
    <w:name w:val="ListLabel 39"/>
    <w:qFormat/>
    <w:rPr>
      <w:rFonts w:ascii="Arial" w:hAnsi="Arial" w:eastAsia="Calibri" w:cs="Arial" w:eastAsiaTheme="minorHAnsi"/>
      <w:sz w:val="20"/>
      <w:szCs w:val="20"/>
    </w:rPr>
  </w:style>
  <w:style w:type="character" w:styleId="ListLabel40">
    <w:name w:val="ListLabel 40"/>
    <w:qFormat/>
    <w:rPr>
      <w:rFonts w:ascii="Arial" w:hAnsi="Arial" w:cs="Arial"/>
      <w:sz w:val="20"/>
      <w:szCs w:val="20"/>
    </w:rPr>
  </w:style>
  <w:style w:type="character" w:styleId="ListLabel41">
    <w:name w:val="ListLabel 41"/>
    <w:qFormat/>
    <w:rPr>
      <w:rFonts w:ascii="Arial" w:hAnsi="Arial" w:cs="Arial"/>
      <w:kern w:val="2"/>
      <w:sz w:val="20"/>
      <w:szCs w:val="20"/>
    </w:rPr>
  </w:style>
  <w:style w:type="character" w:styleId="ListLabel42">
    <w:name w:val="ListLabel 42"/>
    <w:qFormat/>
    <w:rPr>
      <w:rFonts w:ascii="Arial" w:hAnsi="Arial" w:cs="Arial"/>
      <w:b/>
      <w:bCs/>
      <w:sz w:val="20"/>
      <w:szCs w:val="20"/>
    </w:rPr>
  </w:style>
  <w:style w:type="character" w:styleId="ListLabel43">
    <w:name w:val="ListLabel 43"/>
    <w:qFormat/>
    <w:rPr>
      <w:rFonts w:ascii="Arial" w:hAnsi="Arial" w:cs="Arial"/>
      <w:b/>
      <w:sz w:val="20"/>
      <w:szCs w:val="20"/>
    </w:rPr>
  </w:style>
  <w:style w:type="character" w:styleId="Strong">
    <w:name w:val="Strong"/>
    <w:basedOn w:val="DefaultParagraphFont"/>
    <w:qFormat/>
    <w:rPr>
      <w:b/>
      <w:bCs/>
    </w:rPr>
  </w:style>
  <w:style w:type="character" w:styleId="ListLabel44">
    <w:name w:val="ListLabel 44"/>
    <w:qFormat/>
    <w:rPr>
      <w:rFonts w:cs="Arial"/>
      <w:sz w:val="24"/>
      <w:szCs w:val="24"/>
    </w:rPr>
  </w:style>
  <w:style w:type="character" w:styleId="ListLabel45">
    <w:name w:val="ListLabel 45"/>
    <w:qFormat/>
    <w:rPr>
      <w:rFonts w:cs="Arial"/>
      <w:bCs/>
      <w:sz w:val="24"/>
      <w:szCs w:val="24"/>
    </w:rPr>
  </w:style>
  <w:style w:type="character" w:styleId="ListLabel46">
    <w:name w:val="ListLabel 46"/>
    <w:qFormat/>
    <w:rPr>
      <w:rFonts w:eastAsia="Calibri" w:cs="Arial" w:eastAsiaTheme="minorHAnsi"/>
      <w:sz w:val="24"/>
      <w:szCs w:val="24"/>
    </w:rPr>
  </w:style>
  <w:style w:type="character" w:styleId="ListLabel47">
    <w:name w:val="ListLabel 47"/>
    <w:qFormat/>
    <w:rPr>
      <w:rFonts w:ascii="Arial" w:hAnsi="Arial" w:cs="Arial"/>
      <w:sz w:val="24"/>
      <w:szCs w:val="24"/>
    </w:rPr>
  </w:style>
  <w:style w:type="character" w:styleId="ListLabel48">
    <w:name w:val="ListLabel 48"/>
    <w:qFormat/>
    <w:rPr>
      <w:rFonts w:cs="Arial"/>
      <w:kern w:val="2"/>
      <w:sz w:val="24"/>
      <w:szCs w:val="24"/>
    </w:rPr>
  </w:style>
  <w:style w:type="character" w:styleId="ListLabel49">
    <w:name w:val="ListLabel 49"/>
    <w:qFormat/>
    <w:rPr>
      <w:rFonts w:cs="Arial"/>
      <w:b/>
      <w:bCs/>
      <w:sz w:val="24"/>
      <w:szCs w:val="24"/>
    </w:rPr>
  </w:style>
  <w:style w:type="character" w:styleId="ListLabel50">
    <w:name w:val="ListLabel 50"/>
    <w:qFormat/>
    <w:rPr>
      <w:rFonts w:cs="Arial"/>
      <w:b/>
      <w:sz w:val="24"/>
      <w:szCs w:val="24"/>
    </w:rPr>
  </w:style>
  <w:style w:type="character" w:styleId="ListLabel51">
    <w:name w:val="ListLabel 51"/>
    <w:qFormat/>
    <w:rPr>
      <w:rFonts w:cs="Arial"/>
      <w:sz w:val="24"/>
      <w:szCs w:val="24"/>
    </w:rPr>
  </w:style>
  <w:style w:type="character" w:styleId="ListLabel52">
    <w:name w:val="ListLabel 52"/>
    <w:qFormat/>
    <w:rPr>
      <w:iCs/>
      <w:color w:val="595959" w:themeColor="text1" w:themeTint="a6"/>
      <w:sz w:val="18"/>
      <w:szCs w:val="20"/>
    </w:rPr>
  </w:style>
  <w:style w:type="character" w:styleId="ListLabel53">
    <w:name w:val="ListLabel 53"/>
    <w:qFormat/>
    <w:rPr>
      <w:rFonts w:cs="Arial"/>
      <w:sz w:val="24"/>
      <w:szCs w:val="24"/>
    </w:rPr>
  </w:style>
  <w:style w:type="character" w:styleId="ListLabel54">
    <w:name w:val="ListLabel 54"/>
    <w:qFormat/>
    <w:rPr>
      <w:rFonts w:cs="Arial"/>
      <w:bCs/>
      <w:sz w:val="24"/>
      <w:szCs w:val="24"/>
    </w:rPr>
  </w:style>
  <w:style w:type="character" w:styleId="ListLabel55">
    <w:name w:val="ListLabel 55"/>
    <w:qFormat/>
    <w:rPr>
      <w:rFonts w:eastAsia="Calibri" w:cs="Arial" w:eastAsiaTheme="minorHAnsi"/>
      <w:sz w:val="24"/>
      <w:szCs w:val="24"/>
    </w:rPr>
  </w:style>
  <w:style w:type="character" w:styleId="ListLabel56">
    <w:name w:val="ListLabel 56"/>
    <w:qFormat/>
    <w:rPr>
      <w:rFonts w:ascii="Arial" w:hAnsi="Arial" w:cs="Arial"/>
      <w:sz w:val="24"/>
      <w:szCs w:val="24"/>
    </w:rPr>
  </w:style>
  <w:style w:type="character" w:styleId="ListLabel57">
    <w:name w:val="ListLabel 57"/>
    <w:qFormat/>
    <w:rPr>
      <w:rFonts w:cs="Arial"/>
      <w:kern w:val="2"/>
      <w:sz w:val="24"/>
      <w:szCs w:val="24"/>
    </w:rPr>
  </w:style>
  <w:style w:type="character" w:styleId="ListLabel58">
    <w:name w:val="ListLabel 58"/>
    <w:qFormat/>
    <w:rPr>
      <w:rFonts w:cs="Arial"/>
      <w:b/>
      <w:bCs/>
      <w:sz w:val="24"/>
      <w:szCs w:val="24"/>
    </w:rPr>
  </w:style>
  <w:style w:type="character" w:styleId="ListLabel59">
    <w:name w:val="ListLabel 59"/>
    <w:qFormat/>
    <w:rPr>
      <w:rFonts w:cs="Arial"/>
      <w:b/>
      <w:sz w:val="24"/>
      <w:szCs w:val="24"/>
    </w:rPr>
  </w:style>
  <w:style w:type="character" w:styleId="ListLabel60">
    <w:name w:val="ListLabel 60"/>
    <w:qFormat/>
    <w:rPr>
      <w:rFonts w:cs="Arial"/>
      <w:sz w:val="24"/>
      <w:szCs w:val="24"/>
    </w:rPr>
  </w:style>
  <w:style w:type="character" w:styleId="ListLabel61">
    <w:name w:val="ListLabel 61"/>
    <w:qFormat/>
    <w:rPr>
      <w:iCs/>
      <w:color w:val="595959" w:themeColor="text1" w:themeTint="a6"/>
      <w:sz w:val="18"/>
      <w:szCs w:val="20"/>
    </w:rPr>
  </w:style>
  <w:style w:type="character" w:styleId="ListLabel62">
    <w:name w:val="ListLabel 62"/>
    <w:qFormat/>
    <w:rPr>
      <w:rFonts w:cs="Arial"/>
      <w:sz w:val="24"/>
      <w:szCs w:val="24"/>
    </w:rPr>
  </w:style>
  <w:style w:type="character" w:styleId="ListLabel63">
    <w:name w:val="ListLabel 63"/>
    <w:qFormat/>
    <w:rPr>
      <w:rFonts w:cs="Arial"/>
      <w:bCs/>
      <w:sz w:val="24"/>
      <w:szCs w:val="24"/>
    </w:rPr>
  </w:style>
  <w:style w:type="character" w:styleId="ListLabel64">
    <w:name w:val="ListLabel 64"/>
    <w:qFormat/>
    <w:rPr>
      <w:rFonts w:eastAsia="Calibri" w:cs="Arial" w:eastAsiaTheme="minorHAnsi"/>
      <w:sz w:val="24"/>
      <w:szCs w:val="24"/>
    </w:rPr>
  </w:style>
  <w:style w:type="character" w:styleId="ListLabel65">
    <w:name w:val="ListLabel 65"/>
    <w:qFormat/>
    <w:rPr>
      <w:rFonts w:ascii="Arial" w:hAnsi="Arial" w:cs="Arial"/>
      <w:sz w:val="24"/>
      <w:szCs w:val="24"/>
    </w:rPr>
  </w:style>
  <w:style w:type="character" w:styleId="ListLabel66">
    <w:name w:val="ListLabel 66"/>
    <w:qFormat/>
    <w:rPr>
      <w:rFonts w:cs="Arial"/>
      <w:kern w:val="2"/>
      <w:sz w:val="24"/>
      <w:szCs w:val="24"/>
    </w:rPr>
  </w:style>
  <w:style w:type="character" w:styleId="ListLabel67">
    <w:name w:val="ListLabel 67"/>
    <w:qFormat/>
    <w:rPr>
      <w:rFonts w:cs="Arial"/>
      <w:b/>
      <w:bCs/>
      <w:sz w:val="24"/>
      <w:szCs w:val="24"/>
    </w:rPr>
  </w:style>
  <w:style w:type="character" w:styleId="ListLabel68">
    <w:name w:val="ListLabel 68"/>
    <w:qFormat/>
    <w:rPr>
      <w:rFonts w:cs="Arial"/>
      <w:b/>
      <w:sz w:val="24"/>
      <w:szCs w:val="24"/>
    </w:rPr>
  </w:style>
  <w:style w:type="character" w:styleId="ListLabel69">
    <w:name w:val="ListLabel 69"/>
    <w:qFormat/>
    <w:rPr>
      <w:rFonts w:cs="Arial"/>
      <w:sz w:val="24"/>
      <w:szCs w:val="24"/>
    </w:rPr>
  </w:style>
  <w:style w:type="character" w:styleId="ListLabel70">
    <w:name w:val="ListLabel 70"/>
    <w:qFormat/>
    <w:rPr>
      <w:iCs/>
      <w:color w:val="595959" w:themeColor="text1" w:themeTint="a6"/>
      <w:sz w:val="18"/>
      <w:szCs w:val="20"/>
    </w:rPr>
  </w:style>
  <w:style w:type="character" w:styleId="ListLabel71">
    <w:name w:val="ListLabel 71"/>
    <w:qFormat/>
    <w:rPr>
      <w:rFonts w:cs="Arial"/>
      <w:sz w:val="24"/>
      <w:szCs w:val="24"/>
    </w:rPr>
  </w:style>
  <w:style w:type="character" w:styleId="ListLabel72">
    <w:name w:val="ListLabel 72"/>
    <w:qFormat/>
    <w:rPr>
      <w:rFonts w:cs="Arial"/>
      <w:bCs/>
      <w:sz w:val="24"/>
      <w:szCs w:val="24"/>
    </w:rPr>
  </w:style>
  <w:style w:type="character" w:styleId="ListLabel73">
    <w:name w:val="ListLabel 73"/>
    <w:qFormat/>
    <w:rPr>
      <w:rFonts w:eastAsia="Calibri" w:cs="Arial" w:eastAsiaTheme="minorHAnsi"/>
      <w:sz w:val="24"/>
      <w:szCs w:val="24"/>
    </w:rPr>
  </w:style>
  <w:style w:type="character" w:styleId="ListLabel74">
    <w:name w:val="ListLabel 74"/>
    <w:qFormat/>
    <w:rPr>
      <w:rFonts w:ascii="Arial" w:hAnsi="Arial" w:cs="Arial"/>
      <w:sz w:val="24"/>
      <w:szCs w:val="24"/>
    </w:rPr>
  </w:style>
  <w:style w:type="character" w:styleId="ListLabel75">
    <w:name w:val="ListLabel 75"/>
    <w:qFormat/>
    <w:rPr>
      <w:rFonts w:cs="Arial"/>
      <w:kern w:val="2"/>
      <w:sz w:val="24"/>
      <w:szCs w:val="24"/>
    </w:rPr>
  </w:style>
  <w:style w:type="character" w:styleId="ListLabel76">
    <w:name w:val="ListLabel 76"/>
    <w:qFormat/>
    <w:rPr>
      <w:rFonts w:cs="Arial"/>
      <w:b/>
      <w:bCs/>
      <w:sz w:val="24"/>
      <w:szCs w:val="24"/>
    </w:rPr>
  </w:style>
  <w:style w:type="character" w:styleId="ListLabel77">
    <w:name w:val="ListLabel 77"/>
    <w:qFormat/>
    <w:rPr>
      <w:rFonts w:cs="Arial"/>
      <w:b/>
      <w:sz w:val="24"/>
      <w:szCs w:val="24"/>
    </w:rPr>
  </w:style>
  <w:style w:type="character" w:styleId="ListLabel78">
    <w:name w:val="ListLabel 78"/>
    <w:qFormat/>
    <w:rPr>
      <w:rFonts w:cs="Arial"/>
      <w:sz w:val="24"/>
      <w:szCs w:val="24"/>
    </w:rPr>
  </w:style>
  <w:style w:type="character" w:styleId="ListLabel79">
    <w:name w:val="ListLabel 79"/>
    <w:qFormat/>
    <w:rPr>
      <w:iCs/>
      <w:color w:val="595959" w:themeColor="text1" w:themeTint="a6"/>
      <w:sz w:val="18"/>
      <w:szCs w:val="20"/>
    </w:rPr>
  </w:style>
  <w:style w:type="character" w:styleId="ListLabel29">
    <w:name w:val="ListLabel 29"/>
    <w:qFormat/>
    <w:rPr>
      <w:iCs/>
      <w:color w:val="595959" w:themeColor="text1" w:themeTint="a6"/>
      <w:sz w:val="18"/>
      <w:szCs w:val="20"/>
    </w:rPr>
  </w:style>
  <w:style w:type="character" w:styleId="ListLabel80">
    <w:name w:val="ListLabel 80"/>
    <w:qFormat/>
    <w:rPr>
      <w:rFonts w:cs="Arial"/>
      <w:sz w:val="24"/>
      <w:szCs w:val="24"/>
    </w:rPr>
  </w:style>
  <w:style w:type="character" w:styleId="ListLabel81">
    <w:name w:val="ListLabel 81"/>
    <w:qFormat/>
    <w:rPr>
      <w:iCs/>
      <w:color w:val="595959" w:themeColor="text1" w:themeTint="a6"/>
      <w:sz w:val="18"/>
      <w:szCs w:val="20"/>
    </w:rPr>
  </w:style>
  <w:style w:type="character" w:styleId="ListLabel82">
    <w:name w:val="ListLabel 82"/>
    <w:qFormat/>
    <w:rPr>
      <w:iCs/>
      <w:color w:val="595959" w:themeColor="text1" w:themeTint="a6"/>
      <w:sz w:val="18"/>
      <w:szCs w:val="20"/>
    </w:rPr>
  </w:style>
  <w:style w:type="character" w:styleId="ListLabel83">
    <w:name w:val="ListLabel 83"/>
    <w:qFormat/>
    <w:rPr>
      <w:iCs/>
      <w:color w:val="595959" w:themeColor="text1" w:themeTint="a6"/>
      <w:sz w:val="18"/>
      <w:szCs w:val="20"/>
    </w:rPr>
  </w:style>
  <w:style w:type="character" w:styleId="ListLabel84">
    <w:name w:val="ListLabel 84"/>
    <w:qFormat/>
    <w:rPr>
      <w:iCs/>
      <w:color w:val="595959" w:themeColor="text1" w:themeTint="a6"/>
      <w:sz w:val="18"/>
      <w:szCs w:val="20"/>
    </w:rPr>
  </w:style>
  <w:style w:type="character" w:styleId="ListLabel85">
    <w:name w:val="ListLabel 85"/>
    <w:qFormat/>
    <w:rPr>
      <w:iCs/>
      <w:color w:val="595959" w:themeColor="text1" w:themeTint="a6"/>
      <w:sz w:val="18"/>
      <w:szCs w:val="20"/>
    </w:rPr>
  </w:style>
  <w:style w:type="character" w:styleId="ListLabel86">
    <w:name w:val="ListLabel 86"/>
    <w:qFormat/>
    <w:rPr>
      <w:iCs/>
      <w:color w:val="595959" w:themeColor="text1" w:themeTint="a6"/>
      <w:sz w:val="18"/>
      <w:szCs w:val="20"/>
    </w:rPr>
  </w:style>
  <w:style w:type="character" w:styleId="ListLabel87">
    <w:name w:val="ListLabel 87"/>
    <w:qFormat/>
    <w:rPr>
      <w:iCs/>
      <w:color w:val="595959" w:themeColor="text1" w:themeTint="a6"/>
      <w:sz w:val="18"/>
      <w:szCs w:val="20"/>
      <w:lang w:val="de-DE"/>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Subttulo">
    <w:name w:val="Subtitle"/>
    <w:basedOn w:val="Normal"/>
    <w:next w:val="Normal"/>
    <w:link w:val="UntertitelZchn"/>
    <w:uiPriority w:val="11"/>
    <w:qFormat/>
    <w:rsid w:val="00d23ec5"/>
    <w:pPr/>
    <w:rPr>
      <w:rFonts w:eastAsia="" w:cs="" w:cstheme="majorBidi" w:eastAsiaTheme="majorEastAsia"/>
      <w:i/>
      <w:iCs/>
      <w:spacing w:val="15"/>
      <w:sz w:val="24"/>
      <w:szCs w:val="24"/>
    </w:rPr>
  </w:style>
  <w:style w:type="paragraph" w:styleId="Caption">
    <w:name w:val="caption"/>
    <w:basedOn w:val="Normal"/>
    <w:next w:val="Normal"/>
    <w:uiPriority w:val="35"/>
    <w:semiHidden/>
    <w:unhideWhenUsed/>
    <w:qFormat/>
    <w:rsid w:val="00d23ec5"/>
    <w:pPr>
      <w:spacing w:before="0" w:after="200"/>
    </w:pPr>
    <w:rPr>
      <w:b/>
      <w:bCs/>
      <w:sz w:val="18"/>
      <w:szCs w:val="18"/>
    </w:rPr>
  </w:style>
  <w:style w:type="paragraph" w:styleId="BlockText">
    <w:name w:val="Block Text"/>
    <w:basedOn w:val="Normal"/>
    <w:uiPriority w:val="99"/>
    <w:semiHidden/>
    <w:unhideWhenUsed/>
    <w:qFormat/>
    <w:rsid w:val="00d23ec5"/>
    <w:pPr>
      <w:pBdr>
        <w:top w:val="single" w:sz="2" w:space="10" w:color="4F81BD"/>
        <w:left w:val="single" w:sz="2" w:space="10" w:color="4F81BD"/>
        <w:bottom w:val="single" w:sz="2" w:space="10" w:color="4F81BD"/>
        <w:right w:val="single" w:sz="2" w:space="10" w:color="4F81BD"/>
      </w:pBdr>
      <w:ind w:left="1152" w:right="1152" w:hanging="0"/>
    </w:pPr>
    <w:rPr>
      <w:rFonts w:eastAsia="" w:eastAsiaTheme="minorEastAsia"/>
      <w:i/>
      <w:iCs/>
    </w:rPr>
  </w:style>
  <w:style w:type="paragraph" w:styleId="DocumentMap">
    <w:name w:val="Document Map"/>
    <w:basedOn w:val="Normal"/>
    <w:link w:val="DokumentstrukturZchn"/>
    <w:uiPriority w:val="99"/>
    <w:semiHidden/>
    <w:unhideWhenUsed/>
    <w:qFormat/>
    <w:rsid w:val="00d23ec5"/>
    <w:pPr/>
    <w:rPr>
      <w:rFonts w:cs="Tahoma"/>
      <w:sz w:val="16"/>
      <w:szCs w:val="16"/>
    </w:rPr>
  </w:style>
  <w:style w:type="paragraph" w:styleId="Index1">
    <w:name w:val="index 1"/>
    <w:basedOn w:val="Normal"/>
    <w:next w:val="Normal"/>
    <w:autoRedefine/>
    <w:uiPriority w:val="99"/>
    <w:semiHidden/>
    <w:unhideWhenUsed/>
    <w:qFormat/>
    <w:rsid w:val="00d23ec5"/>
    <w:pPr>
      <w:ind w:left="220" w:hanging="220"/>
    </w:pPr>
    <w:rPr/>
  </w:style>
  <w:style w:type="paragraph" w:styleId="Indexheading">
    <w:name w:val="index heading"/>
    <w:basedOn w:val="Normal"/>
    <w:next w:val="Index1"/>
    <w:uiPriority w:val="99"/>
    <w:semiHidden/>
    <w:unhideWhenUsed/>
    <w:qFormat/>
    <w:rsid w:val="00d23ec5"/>
    <w:pPr/>
    <w:rPr>
      <w:rFonts w:eastAsia="" w:cs="" w:cstheme="majorBidi" w:eastAsiaTheme="majorEastAsia"/>
      <w:b/>
      <w:bCs/>
    </w:rPr>
  </w:style>
  <w:style w:type="paragraph" w:styleId="TOCHeading">
    <w:name w:val="TOC Heading"/>
    <w:basedOn w:val="Ttulo1"/>
    <w:next w:val="Normal"/>
    <w:uiPriority w:val="39"/>
    <w:semiHidden/>
    <w:unhideWhenUsed/>
    <w:qFormat/>
    <w:rsid w:val="00d23ec5"/>
    <w:pPr>
      <w:numPr>
        <w:ilvl w:val="0"/>
        <w:numId w:val="0"/>
      </w:numPr>
    </w:pPr>
    <w:rPr/>
  </w:style>
  <w:style w:type="paragraph" w:styleId="Toaheading">
    <w:name w:val="toa heading"/>
    <w:basedOn w:val="Normal"/>
    <w:next w:val="Normal"/>
    <w:uiPriority w:val="99"/>
    <w:semiHidden/>
    <w:unhideWhenUsed/>
    <w:qFormat/>
    <w:rsid w:val="00d23ec5"/>
    <w:pPr>
      <w:spacing w:before="120" w:after="0"/>
    </w:pPr>
    <w:rPr>
      <w:rFonts w:eastAsia="" w:cs="" w:cstheme="majorBidi" w:eastAsiaTheme="majorEastAsia"/>
      <w:b/>
      <w:bCs/>
      <w:sz w:val="24"/>
      <w:szCs w:val="24"/>
    </w:rPr>
  </w:style>
  <w:style w:type="paragraph" w:styleId="BalloonText">
    <w:name w:val="Balloon Text"/>
    <w:basedOn w:val="Normal"/>
    <w:link w:val="SprechblasentextZchn"/>
    <w:uiPriority w:val="99"/>
    <w:semiHidden/>
    <w:unhideWhenUsed/>
    <w:qFormat/>
    <w:rsid w:val="00d23ec5"/>
    <w:pPr/>
    <w:rPr>
      <w:rFonts w:cs="Tahoma"/>
      <w:sz w:val="16"/>
      <w:szCs w:val="16"/>
    </w:rPr>
  </w:style>
  <w:style w:type="paragraph" w:styleId="NormalWeb">
    <w:name w:val="Normal (Web)"/>
    <w:basedOn w:val="Normal"/>
    <w:uiPriority w:val="99"/>
    <w:semiHidden/>
    <w:unhideWhenUsed/>
    <w:qFormat/>
    <w:rsid w:val="00d23ec5"/>
    <w:pPr/>
    <w:rPr>
      <w:rFonts w:cs="Times New Roman"/>
      <w:sz w:val="24"/>
      <w:szCs w:val="24"/>
    </w:rPr>
  </w:style>
  <w:style w:type="paragraph" w:styleId="Titular">
    <w:name w:val="Title"/>
    <w:basedOn w:val="Normal"/>
    <w:next w:val="Normal"/>
    <w:link w:val="TitelZchn"/>
    <w:uiPriority w:val="10"/>
    <w:qFormat/>
    <w:rsid w:val="00d23ec5"/>
    <w:pPr>
      <w:pBdr>
        <w:bottom w:val="single" w:sz="8" w:space="4" w:color="4F81BD"/>
      </w:pBdr>
      <w:spacing w:before="0" w:after="300"/>
      <w:contextualSpacing/>
    </w:pPr>
    <w:rPr>
      <w:rFonts w:eastAsia="" w:cs="" w:cstheme="majorBidi" w:eastAsiaTheme="majorEastAsia"/>
      <w:spacing w:val="5"/>
      <w:kern w:val="2"/>
      <w:sz w:val="52"/>
      <w:szCs w:val="52"/>
    </w:rPr>
  </w:style>
  <w:style w:type="paragraph" w:styleId="Envelopereturn">
    <w:name w:val="envelope return"/>
    <w:basedOn w:val="Normal"/>
    <w:uiPriority w:val="99"/>
    <w:semiHidden/>
    <w:unhideWhenUsed/>
    <w:qFormat/>
    <w:rsid w:val="00d23ec5"/>
    <w:pPr/>
    <w:rPr>
      <w:rFonts w:eastAsia="" w:cs="" w:cstheme="majorBidi" w:eastAsiaTheme="majorEastAsia"/>
      <w:szCs w:val="20"/>
    </w:rPr>
  </w:style>
  <w:style w:type="paragraph" w:styleId="Envelopeaddress">
    <w:name w:val="envelope address"/>
    <w:basedOn w:val="Normal"/>
    <w:uiPriority w:val="99"/>
    <w:semiHidden/>
    <w:unhideWhenUsed/>
    <w:qFormat/>
    <w:rsid w:val="00d23ec5"/>
    <w:pPr>
      <w:ind w:left="1" w:hanging="0"/>
    </w:pPr>
    <w:rPr>
      <w:rFonts w:eastAsia="" w:cs="" w:cstheme="majorBidi" w:eastAsiaTheme="majorEastAsia"/>
      <w:sz w:val="24"/>
      <w:szCs w:val="24"/>
    </w:rPr>
  </w:style>
  <w:style w:type="paragraph" w:styleId="NoSpacing">
    <w:name w:val="No Spacing"/>
    <w:uiPriority w:val="1"/>
    <w:qFormat/>
    <w:rsid w:val="00d23ec5"/>
    <w:pPr>
      <w:widowControl/>
      <w:bidi w:val="0"/>
      <w:spacing w:lineRule="auto" w:line="240" w:before="0" w:after="0"/>
      <w:jc w:val="left"/>
    </w:pPr>
    <w:rPr>
      <w:rFonts w:ascii="Arial" w:hAnsi="Arial" w:eastAsia="Calibri" w:cs="" w:cstheme="minorBidi" w:eastAsiaTheme="minorHAnsi"/>
      <w:color w:val="auto"/>
      <w:kern w:val="0"/>
      <w:sz w:val="20"/>
      <w:szCs w:val="22"/>
      <w:lang w:val="de-DE" w:eastAsia="en-US" w:bidi="ar-SA"/>
    </w:rPr>
  </w:style>
  <w:style w:type="paragraph" w:styleId="ListParagraph">
    <w:name w:val="List Paragraph"/>
    <w:basedOn w:val="Normal"/>
    <w:uiPriority w:val="34"/>
    <w:qFormat/>
    <w:rsid w:val="00d23ec5"/>
    <w:pPr>
      <w:spacing w:before="0" w:after="0"/>
      <w:ind w:left="720" w:hanging="0"/>
      <w:contextualSpacing/>
    </w:pPr>
    <w:rPr/>
  </w:style>
  <w:style w:type="paragraph" w:styleId="Piedepgina">
    <w:name w:val="Footer"/>
    <w:basedOn w:val="Normal"/>
    <w:link w:val="FuzeileZchn"/>
    <w:uiPriority w:val="99"/>
    <w:unhideWhenUsed/>
    <w:rsid w:val="00d23ec5"/>
    <w:pPr>
      <w:tabs>
        <w:tab w:val="center" w:pos="4536" w:leader="none"/>
        <w:tab w:val="right" w:pos="9072" w:leader="none"/>
      </w:tabs>
    </w:pPr>
    <w:rPr/>
  </w:style>
  <w:style w:type="paragraph" w:styleId="Cabecera">
    <w:name w:val="Header"/>
    <w:basedOn w:val="Normal"/>
    <w:link w:val="KopfzeileZchn"/>
    <w:unhideWhenUsed/>
    <w:rsid w:val="00d23ec5"/>
    <w:pPr>
      <w:tabs>
        <w:tab w:val="center" w:pos="4536" w:leader="none"/>
        <w:tab w:val="right" w:pos="9072" w:leader="none"/>
      </w:tabs>
    </w:pPr>
    <w:rPr/>
  </w:style>
  <w:style w:type="paragraph" w:styleId="TabellePMHplain" w:customStyle="1">
    <w:name w:val="Tabelle_PMH_plain"/>
    <w:basedOn w:val="Normal"/>
    <w:qFormat/>
    <w:rsid w:val="00d23ec5"/>
    <w:pPr>
      <w:spacing w:before="60" w:after="60"/>
    </w:pPr>
    <w:rPr>
      <w:rFonts w:eastAsia="Times New Roman" w:cs="Times New Roman"/>
      <w:sz w:val="16"/>
      <w:szCs w:val="24"/>
      <w:lang w:eastAsia="de-DE"/>
    </w:rPr>
  </w:style>
  <w:style w:type="paragraph" w:styleId="Firma">
    <w:name w:val="Signature"/>
    <w:basedOn w:val="Normal"/>
    <w:link w:val="UnterschriftZchn"/>
    <w:rsid w:val="00d23ec5"/>
    <w:pPr>
      <w:jc w:val="center"/>
    </w:pPr>
    <w:rPr>
      <w:rFonts w:eastAsia="Times New Roman" w:cs="Times New Roman"/>
      <w:sz w:val="16"/>
      <w:szCs w:val="24"/>
      <w:lang w:eastAsia="de-DE"/>
    </w:rPr>
  </w:style>
  <w:style w:type="paragraph" w:styleId="Sumario1">
    <w:name w:val="TOC 1"/>
    <w:basedOn w:val="Normal"/>
    <w:next w:val="Normal"/>
    <w:autoRedefine/>
    <w:uiPriority w:val="39"/>
    <w:unhideWhenUsed/>
    <w:rsid w:val="00d23ec5"/>
    <w:pPr>
      <w:spacing w:before="0" w:after="100"/>
    </w:pPr>
    <w:rPr/>
  </w:style>
  <w:style w:type="paragraph" w:styleId="Sumario2">
    <w:name w:val="TOC 2"/>
    <w:basedOn w:val="Normal"/>
    <w:next w:val="Normal"/>
    <w:autoRedefine/>
    <w:uiPriority w:val="39"/>
    <w:unhideWhenUsed/>
    <w:rsid w:val="00d23ec5"/>
    <w:pPr>
      <w:spacing w:before="0" w:after="100"/>
      <w:ind w:left="200" w:hanging="0"/>
    </w:pPr>
    <w:rPr/>
  </w:style>
  <w:style w:type="paragraph" w:styleId="Xmsolistparagraph">
    <w:name w:val="x_msolistparagraph"/>
    <w:basedOn w:val="Normal"/>
    <w:qFormat/>
    <w:pPr>
      <w:spacing w:beforeAutospacing="1" w:afterAutospacing="1"/>
    </w:pPr>
    <w:rPr>
      <w:rFonts w:ascii="Calibri" w:hAnsi="Calibri" w:eastAsia="Calibri" w:cs="Calibri" w:eastAsiaTheme="minorHAnsi"/>
      <w:sz w:val="22"/>
      <w:szCs w:val="22"/>
      <w:lang w:eastAsia="en-US"/>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59"/>
    <w:rsid w:val="00d23e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tuv.com/germany/de/pr&#252;fung-von-e-ladestationen.html" TargetMode="External"/><Relationship Id="rId4" Type="http://schemas.openxmlformats.org/officeDocument/2006/relationships/hyperlink" Target="http://www.tuv.com/germany/de/pr&#252;fung-von-e-ladestationen.html" TargetMode="External"/><Relationship Id="rId5" Type="http://schemas.openxmlformats.org/officeDocument/2006/relationships/hyperlink" Target="http://www.tuv.com/"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LibreOffice/6.1.0.3$Windows_X86_64 LibreOffice_project/efb621ed25068d70781dc026f7e9c5187a4decd1</Application>
  <Pages>3</Pages>
  <Words>520</Words>
  <Characters>3540</Characters>
  <CharactersWithSpaces>4052</CharactersWithSpaces>
  <Paragraphs>15</Paragraphs>
  <Company>TUV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2020-06-25T08:45:00Z</dcterms:created>
  <dc:creator>TÜV Rheinland Presse</dc:creator>
  <dc:description/>
  <cp:keywords>TÜV Rheinland: Partnerschaft für geeichte und sichere Ladesäulen von E-Autos</cp:keywords>
  <dc:language>es-ES</dc:language>
  <cp:lastModifiedBy/>
  <dcterms:modified xsi:type="dcterms:W3CDTF">2022-09-05T20:01:51Z</dcterms:modified>
  <cp:revision>16</cp:revision>
  <dc:subject/>
  <dc:title>TÜV Rheinland: Partnerschaft für geeichte und sichere Ladesäulen von E-Autos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TUV</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