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557BD" w14:textId="77777777" w:rsidR="000642C5" w:rsidRPr="008670BC" w:rsidRDefault="000642C5" w:rsidP="00DC1150">
      <w:pPr>
        <w:pStyle w:val="ListParagraph"/>
        <w:numPr>
          <w:ilvl w:val="0"/>
          <w:numId w:val="12"/>
        </w:numPr>
        <w:spacing w:before="0" w:after="0" w:line="240" w:lineRule="auto"/>
        <w:ind w:left="450" w:hanging="450"/>
        <w:jc w:val="both"/>
        <w:rPr>
          <w:b/>
          <w:bCs/>
          <w:sz w:val="13"/>
          <w:szCs w:val="13"/>
        </w:rPr>
      </w:pPr>
      <w:r w:rsidRPr="008670BC">
        <w:rPr>
          <w:b/>
          <w:bCs/>
          <w:sz w:val="13"/>
          <w:szCs w:val="13"/>
        </w:rPr>
        <w:t xml:space="preserve">Scope </w:t>
      </w:r>
    </w:p>
    <w:p w14:paraId="5B039BE4" w14:textId="77777777"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following terms and conditions apply to agreed services including consultancy services, information, deliveries and similar services as well as ancillary services and other secondary obligations provided within the scope of contract performance. </w:t>
      </w:r>
    </w:p>
    <w:p w14:paraId="34805671" w14:textId="04C88D25"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client’s General Terms and Conditions of Business, including the client’s Terms and Conditions of Purchasing, if any, shall not apply and shall hereby be expressly excluded. No contractual terms and conditions of the client shall form part of the contract even if </w:t>
      </w:r>
      <w:r w:rsidR="0086794C" w:rsidRPr="008670BC">
        <w:rPr>
          <w:sz w:val="13"/>
          <w:szCs w:val="13"/>
          <w:lang w:val="en-AE"/>
        </w:rPr>
        <w:t>TÜV Rheinland Middle East FZE</w:t>
      </w:r>
      <w:r w:rsidRPr="008670BC">
        <w:rPr>
          <w:sz w:val="13"/>
          <w:szCs w:val="13"/>
          <w:lang w:val="en-AE"/>
        </w:rPr>
        <w:t xml:space="preserve"> does not explicitly object to them.</w:t>
      </w:r>
    </w:p>
    <w:p w14:paraId="3A80F402" w14:textId="77777777" w:rsidR="000642C5" w:rsidRPr="008670BC" w:rsidRDefault="000642C5" w:rsidP="00241F36">
      <w:pPr>
        <w:pStyle w:val="ListParagraph"/>
        <w:spacing w:before="0" w:after="0" w:line="240" w:lineRule="auto"/>
        <w:ind w:left="450"/>
        <w:jc w:val="both"/>
        <w:rPr>
          <w:sz w:val="13"/>
          <w:szCs w:val="13"/>
          <w:lang w:val="en-AE"/>
        </w:rPr>
      </w:pPr>
    </w:p>
    <w:p w14:paraId="5C4F8155" w14:textId="77777777" w:rsidR="00241F36" w:rsidRPr="008670BC" w:rsidRDefault="00241F36" w:rsidP="00241F36">
      <w:pPr>
        <w:pStyle w:val="ListParagraph"/>
        <w:spacing w:before="0" w:after="0" w:line="240" w:lineRule="auto"/>
        <w:ind w:left="450"/>
        <w:jc w:val="both"/>
        <w:rPr>
          <w:sz w:val="13"/>
          <w:szCs w:val="13"/>
          <w:lang w:val="en-AE"/>
        </w:rPr>
      </w:pPr>
    </w:p>
    <w:p w14:paraId="001DCB18" w14:textId="77777777" w:rsidR="000642C5" w:rsidRPr="008670BC" w:rsidRDefault="000642C5" w:rsidP="00DC1150">
      <w:pPr>
        <w:pStyle w:val="ListParagraph"/>
        <w:numPr>
          <w:ilvl w:val="0"/>
          <w:numId w:val="12"/>
        </w:numPr>
        <w:spacing w:before="0" w:after="0" w:line="240" w:lineRule="auto"/>
        <w:ind w:left="450" w:hanging="450"/>
        <w:jc w:val="both"/>
        <w:rPr>
          <w:b/>
          <w:bCs/>
          <w:sz w:val="13"/>
          <w:szCs w:val="13"/>
        </w:rPr>
      </w:pPr>
      <w:r w:rsidRPr="008670BC">
        <w:rPr>
          <w:b/>
          <w:bCs/>
          <w:sz w:val="13"/>
          <w:szCs w:val="13"/>
        </w:rPr>
        <w:t xml:space="preserve">Quotations </w:t>
      </w:r>
    </w:p>
    <w:p w14:paraId="12050D72" w14:textId="2C35114B"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Unless otherwise agreed, all quotations submitted by </w:t>
      </w:r>
      <w:r w:rsidR="0086794C" w:rsidRPr="008670BC">
        <w:rPr>
          <w:sz w:val="13"/>
          <w:szCs w:val="13"/>
          <w:lang w:val="en-AE"/>
        </w:rPr>
        <w:t>TÜV Rheinland Middle East FZE</w:t>
      </w:r>
      <w:r w:rsidRPr="008670BC">
        <w:rPr>
          <w:sz w:val="13"/>
          <w:szCs w:val="13"/>
          <w:lang w:val="en-AE"/>
        </w:rPr>
        <w:t xml:space="preserve"> shall be subject to change without notice. </w:t>
      </w:r>
    </w:p>
    <w:p w14:paraId="66E18AF5" w14:textId="77777777" w:rsidR="000642C5" w:rsidRPr="008670BC" w:rsidRDefault="000642C5" w:rsidP="00241F36">
      <w:pPr>
        <w:pStyle w:val="ListParagraph"/>
        <w:spacing w:before="0" w:after="0" w:line="240" w:lineRule="auto"/>
        <w:ind w:left="450"/>
        <w:jc w:val="both"/>
        <w:rPr>
          <w:sz w:val="13"/>
          <w:szCs w:val="13"/>
          <w:lang w:val="en-AE"/>
        </w:rPr>
      </w:pPr>
    </w:p>
    <w:p w14:paraId="13557A46" w14:textId="77777777" w:rsidR="00241F36" w:rsidRPr="008670BC" w:rsidRDefault="00241F36" w:rsidP="00241F36">
      <w:pPr>
        <w:pStyle w:val="ListParagraph"/>
        <w:spacing w:before="0" w:after="0" w:line="240" w:lineRule="auto"/>
        <w:ind w:left="450"/>
        <w:jc w:val="both"/>
        <w:rPr>
          <w:sz w:val="13"/>
          <w:szCs w:val="13"/>
          <w:lang w:val="en-AE"/>
        </w:rPr>
      </w:pPr>
    </w:p>
    <w:p w14:paraId="759CB837" w14:textId="77777777" w:rsidR="000642C5" w:rsidRPr="008670BC" w:rsidRDefault="000642C5" w:rsidP="00DC1150">
      <w:pPr>
        <w:pStyle w:val="ListParagraph"/>
        <w:numPr>
          <w:ilvl w:val="0"/>
          <w:numId w:val="12"/>
        </w:numPr>
        <w:spacing w:before="0" w:after="0" w:line="240" w:lineRule="auto"/>
        <w:ind w:left="450" w:hanging="450"/>
        <w:jc w:val="both"/>
        <w:rPr>
          <w:b/>
          <w:bCs/>
          <w:sz w:val="13"/>
          <w:szCs w:val="13"/>
          <w:lang w:val="en-AE"/>
        </w:rPr>
      </w:pPr>
      <w:r w:rsidRPr="008670BC">
        <w:rPr>
          <w:b/>
          <w:bCs/>
          <w:sz w:val="13"/>
          <w:szCs w:val="13"/>
          <w:lang w:val="en-AE"/>
        </w:rPr>
        <w:t>Coming into effect and duration of contracts</w:t>
      </w:r>
    </w:p>
    <w:p w14:paraId="185418E2" w14:textId="67C1E70E"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contract shall come into effect for the agreed term upon the quotation letter of </w:t>
      </w:r>
      <w:r w:rsidR="0086794C" w:rsidRPr="008670BC">
        <w:rPr>
          <w:sz w:val="13"/>
          <w:szCs w:val="13"/>
          <w:lang w:val="en-AE"/>
        </w:rPr>
        <w:t>TÜV Rheinland Middle East FZE</w:t>
      </w:r>
      <w:r w:rsidRPr="008670BC">
        <w:rPr>
          <w:sz w:val="13"/>
          <w:szCs w:val="13"/>
          <w:lang w:val="en-AE"/>
        </w:rPr>
        <w:t xml:space="preserve"> or a separate contractual document being signed by both contracting parties, or upon the works requested by the client being carried out by </w:t>
      </w:r>
      <w:r w:rsidR="0086794C" w:rsidRPr="008670BC">
        <w:rPr>
          <w:sz w:val="13"/>
          <w:szCs w:val="13"/>
          <w:lang w:val="en-AE"/>
        </w:rPr>
        <w:t>TÜV Rheinland Middle East FZE</w:t>
      </w:r>
      <w:r w:rsidRPr="008670BC">
        <w:rPr>
          <w:sz w:val="13"/>
          <w:szCs w:val="13"/>
          <w:lang w:val="en-AE"/>
        </w:rPr>
        <w:t xml:space="preserve">. If the client instructs </w:t>
      </w:r>
      <w:r w:rsidR="0086794C" w:rsidRPr="008670BC">
        <w:rPr>
          <w:sz w:val="13"/>
          <w:szCs w:val="13"/>
          <w:lang w:val="en-AE"/>
        </w:rPr>
        <w:t>TÜV Rheinland Middle East FZE</w:t>
      </w:r>
      <w:r w:rsidRPr="008670BC">
        <w:rPr>
          <w:sz w:val="13"/>
          <w:szCs w:val="13"/>
          <w:lang w:val="en-AE"/>
        </w:rPr>
        <w:t xml:space="preserve"> without receiving a prior quotation from </w:t>
      </w:r>
      <w:r w:rsidR="0086794C" w:rsidRPr="008670BC">
        <w:rPr>
          <w:sz w:val="13"/>
          <w:szCs w:val="13"/>
          <w:lang w:val="en-AE"/>
        </w:rPr>
        <w:t>TÜV Rheinland Middle East FZE</w:t>
      </w:r>
      <w:r w:rsidRPr="008670BC">
        <w:rPr>
          <w:sz w:val="13"/>
          <w:szCs w:val="13"/>
          <w:lang w:val="en-AE"/>
        </w:rPr>
        <w:t xml:space="preserve"> (quotation), </w:t>
      </w:r>
      <w:r w:rsidR="0086794C" w:rsidRPr="008670BC">
        <w:rPr>
          <w:sz w:val="13"/>
          <w:szCs w:val="13"/>
          <w:lang w:val="en-AE"/>
        </w:rPr>
        <w:t>TÜV Rheinland Middle East FZE</w:t>
      </w:r>
      <w:r w:rsidRPr="008670BC">
        <w:rPr>
          <w:sz w:val="13"/>
          <w:szCs w:val="13"/>
          <w:lang w:val="en-AE"/>
        </w:rPr>
        <w:t xml:space="preserve"> is – in its sole discretion – entitled to accept the order by giving written notice of such acceptance (including notice sent via electronic means) or by performing the requested services. </w:t>
      </w:r>
    </w:p>
    <w:p w14:paraId="6D4B562A" w14:textId="77777777"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contract term starts upon the coming into effect of the contract in accordance with article 3.1 and shall continue for the term agreed in the contract. </w:t>
      </w:r>
    </w:p>
    <w:p w14:paraId="7E356EB5" w14:textId="77777777"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If the contract provides for an extension of the contract term, the contract term will be extended by the term provided for in the contract unless terminated in writing by either party with a six-week notice to the end of the contractual term. </w:t>
      </w:r>
    </w:p>
    <w:p w14:paraId="62E513DB" w14:textId="77777777" w:rsidR="000642C5" w:rsidRPr="008670BC" w:rsidRDefault="000642C5" w:rsidP="00241F36">
      <w:pPr>
        <w:pStyle w:val="ListParagraph"/>
        <w:spacing w:before="0" w:after="0" w:line="240" w:lineRule="auto"/>
        <w:ind w:left="450"/>
        <w:jc w:val="both"/>
        <w:rPr>
          <w:sz w:val="13"/>
          <w:szCs w:val="13"/>
          <w:lang w:val="en-AE"/>
        </w:rPr>
      </w:pPr>
    </w:p>
    <w:p w14:paraId="57871D22" w14:textId="77777777" w:rsidR="00241F36" w:rsidRPr="008670BC" w:rsidRDefault="00241F36" w:rsidP="00241F36">
      <w:pPr>
        <w:pStyle w:val="ListParagraph"/>
        <w:spacing w:before="0" w:after="0" w:line="240" w:lineRule="auto"/>
        <w:ind w:left="450"/>
        <w:jc w:val="both"/>
        <w:rPr>
          <w:sz w:val="13"/>
          <w:szCs w:val="13"/>
          <w:lang w:val="en-AE"/>
        </w:rPr>
      </w:pPr>
    </w:p>
    <w:p w14:paraId="0937AD60" w14:textId="77777777" w:rsidR="000642C5" w:rsidRPr="008670BC" w:rsidRDefault="000642C5" w:rsidP="00DC1150">
      <w:pPr>
        <w:pStyle w:val="ListParagraph"/>
        <w:numPr>
          <w:ilvl w:val="0"/>
          <w:numId w:val="12"/>
        </w:numPr>
        <w:spacing w:before="0" w:after="0" w:line="240" w:lineRule="auto"/>
        <w:ind w:left="450" w:hanging="450"/>
        <w:jc w:val="both"/>
        <w:rPr>
          <w:b/>
          <w:bCs/>
          <w:sz w:val="13"/>
          <w:szCs w:val="13"/>
        </w:rPr>
      </w:pPr>
      <w:r w:rsidRPr="008670BC">
        <w:rPr>
          <w:b/>
          <w:bCs/>
          <w:sz w:val="13"/>
          <w:szCs w:val="13"/>
        </w:rPr>
        <w:t xml:space="preserve">Scope of services </w:t>
      </w:r>
    </w:p>
    <w:p w14:paraId="3802F62C" w14:textId="235E7037"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scope of the services shall be decided solely by a unanimous declaration issued by both parties. If no such declaration exists, then the written confirmation of order by </w:t>
      </w:r>
      <w:r w:rsidR="0086794C" w:rsidRPr="008670BC">
        <w:rPr>
          <w:sz w:val="13"/>
          <w:szCs w:val="13"/>
          <w:lang w:val="en-AE"/>
        </w:rPr>
        <w:t>TÜV Rheinland Middle East FZE</w:t>
      </w:r>
      <w:r w:rsidRPr="008670BC">
        <w:rPr>
          <w:sz w:val="13"/>
          <w:szCs w:val="13"/>
          <w:lang w:val="en-AE"/>
        </w:rPr>
        <w:t xml:space="preserve"> shall be decisive. </w:t>
      </w:r>
    </w:p>
    <w:p w14:paraId="64AAB599" w14:textId="77777777"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agreed services shall be performed in compliance with the regulations in force at the time the contract is entered into. </w:t>
      </w:r>
    </w:p>
    <w:p w14:paraId="04059098" w14:textId="1D27823A"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Furthermore, </w:t>
      </w:r>
      <w:r w:rsidR="0086794C" w:rsidRPr="008670BC">
        <w:rPr>
          <w:sz w:val="13"/>
          <w:szCs w:val="13"/>
          <w:lang w:val="en-AE"/>
        </w:rPr>
        <w:t>TÜV Rheinland Middle East FZE</w:t>
      </w:r>
      <w:r w:rsidRPr="008670BC">
        <w:rPr>
          <w:sz w:val="13"/>
          <w:szCs w:val="13"/>
          <w:lang w:val="en-AE"/>
        </w:rPr>
        <w:t xml:space="preserve"> is entitled to determine (in its sole discretion) the method and nature of the assessment unless otherwise agreed in writing or if mandatory provisions require a specific procedure to be followed. </w:t>
      </w:r>
    </w:p>
    <w:p w14:paraId="6488BACF" w14:textId="77777777"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On execution of the work there shall be no simultaneous assumption of any guarantee of the correctness (proper quality) and working order of either tested or examined parts nor of the installation as a whole and its upstream and/or downstream processes, organisations, use and application in accordance with regulations, nor of the systems on which the installation is based; in particular, no responsibility shall be assumed for the construction, selection of materials and assembly of installations examined, nor for their use and application in accordance with regulations unless these questions are expressly covered by the contract. </w:t>
      </w:r>
    </w:p>
    <w:p w14:paraId="6C70F754" w14:textId="7E8277DD" w:rsidR="0053526A" w:rsidRPr="008670BC" w:rsidRDefault="000642C5" w:rsidP="00241F36">
      <w:pPr>
        <w:pStyle w:val="ListParagraph"/>
        <w:spacing w:before="0" w:after="0" w:line="240" w:lineRule="auto"/>
        <w:ind w:left="450"/>
        <w:jc w:val="both"/>
        <w:rPr>
          <w:sz w:val="13"/>
          <w:szCs w:val="13"/>
          <w:lang w:val="en-AE"/>
        </w:rPr>
      </w:pPr>
      <w:r w:rsidRPr="008670BC">
        <w:rPr>
          <w:sz w:val="13"/>
          <w:szCs w:val="13"/>
          <w:lang w:val="en-AE"/>
        </w:rPr>
        <w:t xml:space="preserve">In the case of inspection work, </w:t>
      </w:r>
      <w:r w:rsidR="0086794C" w:rsidRPr="008670BC">
        <w:rPr>
          <w:sz w:val="13"/>
          <w:szCs w:val="13"/>
          <w:lang w:val="en-AE"/>
        </w:rPr>
        <w:t>TÜV Rheinland Middle East FZE</w:t>
      </w:r>
      <w:r w:rsidRPr="008670BC">
        <w:rPr>
          <w:sz w:val="13"/>
          <w:szCs w:val="13"/>
          <w:lang w:val="en-AE"/>
        </w:rPr>
        <w:t xml:space="preserve"> shall not be responsible for the accuracy or checking of the safety programmes or safety regulations on which the inspections are based, unless otherwise expressly agreed in writing. </w:t>
      </w:r>
    </w:p>
    <w:p w14:paraId="203391B3" w14:textId="77777777" w:rsidR="00241F36" w:rsidRPr="008670BC" w:rsidRDefault="00241F36" w:rsidP="00241F36">
      <w:pPr>
        <w:pStyle w:val="ListParagraph"/>
        <w:spacing w:before="0" w:after="0" w:line="240" w:lineRule="auto"/>
        <w:ind w:left="450"/>
        <w:jc w:val="both"/>
        <w:rPr>
          <w:sz w:val="13"/>
          <w:szCs w:val="13"/>
          <w:lang w:val="en-AE"/>
        </w:rPr>
      </w:pPr>
    </w:p>
    <w:p w14:paraId="62A14E3D" w14:textId="77777777" w:rsidR="00241F36" w:rsidRPr="008670BC" w:rsidRDefault="00241F36" w:rsidP="00241F36">
      <w:pPr>
        <w:pStyle w:val="ListParagraph"/>
        <w:spacing w:before="0" w:after="0" w:line="240" w:lineRule="auto"/>
        <w:ind w:left="450"/>
        <w:jc w:val="both"/>
        <w:rPr>
          <w:sz w:val="13"/>
          <w:szCs w:val="13"/>
          <w:lang w:val="en-AE"/>
        </w:rPr>
      </w:pPr>
    </w:p>
    <w:p w14:paraId="58B7D62A" w14:textId="77777777" w:rsidR="000642C5" w:rsidRPr="008670BC" w:rsidRDefault="000642C5" w:rsidP="00DC1150">
      <w:pPr>
        <w:pStyle w:val="ListParagraph"/>
        <w:numPr>
          <w:ilvl w:val="0"/>
          <w:numId w:val="12"/>
        </w:numPr>
        <w:spacing w:before="0" w:after="0" w:line="240" w:lineRule="auto"/>
        <w:ind w:left="450" w:hanging="450"/>
        <w:jc w:val="both"/>
        <w:rPr>
          <w:b/>
          <w:bCs/>
          <w:sz w:val="13"/>
          <w:szCs w:val="13"/>
        </w:rPr>
      </w:pPr>
      <w:r w:rsidRPr="008670BC">
        <w:rPr>
          <w:b/>
          <w:bCs/>
          <w:sz w:val="13"/>
          <w:szCs w:val="13"/>
        </w:rPr>
        <w:t xml:space="preserve">Performance periods/ dates </w:t>
      </w:r>
    </w:p>
    <w:p w14:paraId="556D5585" w14:textId="45F6BEA1"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contractually agreed periods and dates of performance are based on estimates of the work involved which are prepared in line with the details provided by the client. They shall only be binding if confirmed as binding by </w:t>
      </w:r>
      <w:r w:rsidR="0086794C" w:rsidRPr="008670BC">
        <w:rPr>
          <w:sz w:val="13"/>
          <w:szCs w:val="13"/>
          <w:lang w:val="en-AE"/>
        </w:rPr>
        <w:t xml:space="preserve">TÜV Rheinland </w:t>
      </w:r>
      <w:r w:rsidR="0086794C" w:rsidRPr="008670BC">
        <w:rPr>
          <w:sz w:val="13"/>
          <w:szCs w:val="13"/>
          <w:lang w:val="en-AE"/>
        </w:rPr>
        <w:t>Middle East FZE</w:t>
      </w:r>
      <w:r w:rsidRPr="008670BC">
        <w:rPr>
          <w:sz w:val="13"/>
          <w:szCs w:val="13"/>
          <w:lang w:val="en-AE"/>
        </w:rPr>
        <w:t xml:space="preserve"> in writing. 5.2 If binding periods of performance have been agreed, these periods shall not commence until the client has submitted all required documents to </w:t>
      </w:r>
      <w:r w:rsidR="0086794C" w:rsidRPr="008670BC">
        <w:rPr>
          <w:sz w:val="13"/>
          <w:szCs w:val="13"/>
          <w:lang w:val="en-AE"/>
        </w:rPr>
        <w:t>TÜV Rheinland Middle East FZE</w:t>
      </w:r>
      <w:r w:rsidRPr="008670BC">
        <w:rPr>
          <w:sz w:val="13"/>
          <w:szCs w:val="13"/>
          <w:lang w:val="en-AE"/>
        </w:rPr>
        <w:t xml:space="preserve">. This also applies, even without express approval by the client, to all extensions of agreed dates for performance not caused by </w:t>
      </w:r>
      <w:r w:rsidR="0086794C" w:rsidRPr="008670BC">
        <w:rPr>
          <w:sz w:val="13"/>
          <w:szCs w:val="13"/>
          <w:lang w:val="en-AE"/>
        </w:rPr>
        <w:t>TÜV Rheinland Middle East FZE</w:t>
      </w:r>
      <w:r w:rsidRPr="008670BC">
        <w:rPr>
          <w:sz w:val="13"/>
          <w:szCs w:val="13"/>
          <w:lang w:val="en-AE"/>
        </w:rPr>
        <w:t>.</w:t>
      </w:r>
    </w:p>
    <w:p w14:paraId="6EEED630" w14:textId="77777777" w:rsidR="00241F36" w:rsidRPr="008670BC" w:rsidRDefault="00241F36" w:rsidP="00241F36">
      <w:pPr>
        <w:pStyle w:val="ListParagraph"/>
        <w:spacing w:before="0" w:after="0" w:line="240" w:lineRule="auto"/>
        <w:ind w:left="450"/>
        <w:jc w:val="both"/>
        <w:rPr>
          <w:sz w:val="13"/>
          <w:szCs w:val="13"/>
          <w:lang w:val="en-AE"/>
        </w:rPr>
      </w:pPr>
    </w:p>
    <w:p w14:paraId="6F741092" w14:textId="77777777" w:rsidR="00A34ECB" w:rsidRPr="008670BC" w:rsidRDefault="00A34ECB" w:rsidP="00241F36">
      <w:pPr>
        <w:pStyle w:val="ListParagraph"/>
        <w:spacing w:before="0" w:after="0" w:line="240" w:lineRule="auto"/>
        <w:ind w:left="450"/>
        <w:jc w:val="both"/>
        <w:rPr>
          <w:sz w:val="13"/>
          <w:szCs w:val="13"/>
          <w:lang w:val="en-AE"/>
        </w:rPr>
      </w:pPr>
    </w:p>
    <w:p w14:paraId="5E76A316" w14:textId="57A00DE2" w:rsidR="000642C5" w:rsidRPr="008670BC" w:rsidRDefault="000642C5" w:rsidP="00DC1150">
      <w:pPr>
        <w:pStyle w:val="ListParagraph"/>
        <w:numPr>
          <w:ilvl w:val="0"/>
          <w:numId w:val="12"/>
        </w:numPr>
        <w:spacing w:before="0" w:after="0" w:line="240" w:lineRule="auto"/>
        <w:ind w:left="450" w:hanging="450"/>
        <w:jc w:val="both"/>
        <w:rPr>
          <w:b/>
          <w:bCs/>
          <w:sz w:val="13"/>
          <w:szCs w:val="13"/>
        </w:rPr>
      </w:pPr>
      <w:r w:rsidRPr="008670BC">
        <w:rPr>
          <w:b/>
          <w:bCs/>
          <w:sz w:val="13"/>
          <w:szCs w:val="13"/>
        </w:rPr>
        <w:t xml:space="preserve">The client’s obligation to cooperate </w:t>
      </w:r>
    </w:p>
    <w:p w14:paraId="085B5FAF" w14:textId="340E1E11"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client shall guarantee that all cooperation required on its part, its agents or third parties will be provided in good time and at no cost to </w:t>
      </w:r>
      <w:r w:rsidR="0086794C" w:rsidRPr="008670BC">
        <w:rPr>
          <w:sz w:val="13"/>
          <w:szCs w:val="13"/>
          <w:lang w:val="en-AE"/>
        </w:rPr>
        <w:t>TÜV Rheinland Middle East FZE</w:t>
      </w:r>
      <w:r w:rsidRPr="008670BC">
        <w:rPr>
          <w:sz w:val="13"/>
          <w:szCs w:val="13"/>
          <w:lang w:val="en-AE"/>
        </w:rPr>
        <w:t xml:space="preserve">. </w:t>
      </w:r>
    </w:p>
    <w:p w14:paraId="34726423" w14:textId="77777777"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Design documents, supplies, auxiliary staff, etc. necessary for performance of the services shall be made available free of charge by the client. Moreover, collaborative action of the client must be undertaken in accordance with legal provisions, standards, safety regulations and accident prevention instructions. </w:t>
      </w:r>
    </w:p>
    <w:p w14:paraId="237868F6" w14:textId="623F3294"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client shall bear any additional cost incurred on account of work having to be redone or being delayed </w:t>
      </w:r>
      <w:proofErr w:type="gramStart"/>
      <w:r w:rsidRPr="008670BC">
        <w:rPr>
          <w:sz w:val="13"/>
          <w:szCs w:val="13"/>
          <w:lang w:val="en-AE"/>
        </w:rPr>
        <w:t>as a result of</w:t>
      </w:r>
      <w:proofErr w:type="gramEnd"/>
      <w:r w:rsidRPr="008670BC">
        <w:rPr>
          <w:sz w:val="13"/>
          <w:szCs w:val="13"/>
          <w:lang w:val="en-AE"/>
        </w:rPr>
        <w:t xml:space="preserve"> late, incorrect or incomplete information or lack of proper cooperation. Even where a fixed or maximum price is agreed, </w:t>
      </w:r>
      <w:r w:rsidR="0086794C" w:rsidRPr="008670BC">
        <w:rPr>
          <w:sz w:val="13"/>
          <w:szCs w:val="13"/>
          <w:lang w:val="en-AE"/>
        </w:rPr>
        <w:t>TÜV Rheinland Middle East FZE</w:t>
      </w:r>
      <w:r w:rsidRPr="008670BC">
        <w:rPr>
          <w:sz w:val="13"/>
          <w:szCs w:val="13"/>
          <w:lang w:val="en-AE"/>
        </w:rPr>
        <w:t xml:space="preserve"> shall be entitled to charge extra for such additional expense. </w:t>
      </w:r>
    </w:p>
    <w:p w14:paraId="38AC1458" w14:textId="77777777" w:rsidR="00241F36" w:rsidRPr="008670BC" w:rsidRDefault="00241F36" w:rsidP="00241F36">
      <w:pPr>
        <w:pStyle w:val="ListParagraph"/>
        <w:spacing w:before="0" w:after="0" w:line="240" w:lineRule="auto"/>
        <w:ind w:left="450"/>
        <w:jc w:val="both"/>
        <w:rPr>
          <w:sz w:val="13"/>
          <w:szCs w:val="13"/>
          <w:lang w:val="en-AE"/>
        </w:rPr>
      </w:pPr>
    </w:p>
    <w:p w14:paraId="5D5F5B77" w14:textId="22EAB5B5" w:rsidR="000642C5" w:rsidRPr="008670BC" w:rsidRDefault="000642C5" w:rsidP="000642C5">
      <w:pPr>
        <w:spacing w:before="0" w:after="0" w:line="240" w:lineRule="auto"/>
        <w:ind w:left="-270" w:hanging="450"/>
        <w:jc w:val="both"/>
        <w:rPr>
          <w:sz w:val="13"/>
          <w:szCs w:val="13"/>
          <w:lang w:val="en-AE"/>
        </w:rPr>
      </w:pPr>
    </w:p>
    <w:p w14:paraId="2E44C39E" w14:textId="77777777" w:rsidR="000642C5" w:rsidRPr="008670BC" w:rsidRDefault="000642C5" w:rsidP="00DC1150">
      <w:pPr>
        <w:pStyle w:val="ListParagraph"/>
        <w:numPr>
          <w:ilvl w:val="0"/>
          <w:numId w:val="12"/>
        </w:numPr>
        <w:spacing w:before="0" w:after="0" w:line="240" w:lineRule="auto"/>
        <w:ind w:left="450" w:hanging="450"/>
        <w:jc w:val="both"/>
        <w:rPr>
          <w:b/>
          <w:bCs/>
          <w:sz w:val="13"/>
          <w:szCs w:val="13"/>
        </w:rPr>
      </w:pPr>
      <w:r w:rsidRPr="008670BC">
        <w:rPr>
          <w:b/>
          <w:bCs/>
          <w:sz w:val="13"/>
          <w:szCs w:val="13"/>
        </w:rPr>
        <w:t xml:space="preserve">Invoicing of work </w:t>
      </w:r>
    </w:p>
    <w:p w14:paraId="1F1140A5" w14:textId="43E8938D"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If the scope of performance is not laid down in writing when the order is placed, invoicing shall be based on costs incurred. If no payment is agreed in writing, invoicing shall be in accordance with the </w:t>
      </w:r>
      <w:r w:rsidR="0086794C" w:rsidRPr="008670BC">
        <w:rPr>
          <w:sz w:val="13"/>
          <w:szCs w:val="13"/>
          <w:lang w:val="en-AE"/>
        </w:rPr>
        <w:t>TÜV Rheinland Middle East FZE</w:t>
      </w:r>
      <w:r w:rsidRPr="008670BC">
        <w:rPr>
          <w:sz w:val="13"/>
          <w:szCs w:val="13"/>
          <w:lang w:val="en-AE"/>
        </w:rPr>
        <w:t xml:space="preserve"> price list valid at the time of performance. </w:t>
      </w:r>
    </w:p>
    <w:p w14:paraId="73E9AEEA" w14:textId="77777777"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Unless otherwise agreed, work shall be invoiced according to the progress of the work. </w:t>
      </w:r>
    </w:p>
    <w:p w14:paraId="66E830F4" w14:textId="31C97425"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If the execution of an order extends over more than one month and the value of the contract or the agreed fixed price exceeds €2,500.00, </w:t>
      </w:r>
      <w:r w:rsidR="0086794C" w:rsidRPr="008670BC">
        <w:rPr>
          <w:sz w:val="13"/>
          <w:szCs w:val="13"/>
          <w:lang w:val="en-AE"/>
        </w:rPr>
        <w:t>TÜV Rheinland Middle East FZE</w:t>
      </w:r>
      <w:r w:rsidRPr="008670BC">
        <w:rPr>
          <w:sz w:val="13"/>
          <w:szCs w:val="13"/>
          <w:lang w:val="en-AE"/>
        </w:rPr>
        <w:t xml:space="preserve"> may demand payments on account or in instalments.</w:t>
      </w:r>
    </w:p>
    <w:p w14:paraId="45BD1C8C" w14:textId="77777777" w:rsidR="00241F36" w:rsidRPr="008670BC" w:rsidRDefault="00241F36" w:rsidP="00241F36">
      <w:pPr>
        <w:pStyle w:val="ListParagraph"/>
        <w:spacing w:before="0" w:after="0" w:line="240" w:lineRule="auto"/>
        <w:ind w:left="450"/>
        <w:jc w:val="both"/>
        <w:rPr>
          <w:sz w:val="13"/>
          <w:szCs w:val="13"/>
          <w:lang w:val="en-AE"/>
        </w:rPr>
      </w:pPr>
    </w:p>
    <w:p w14:paraId="74AAFAD9" w14:textId="77777777" w:rsidR="000642C5" w:rsidRPr="008670BC" w:rsidRDefault="000642C5" w:rsidP="000642C5">
      <w:pPr>
        <w:pStyle w:val="ListParagraph"/>
        <w:spacing w:before="0" w:after="0" w:line="240" w:lineRule="auto"/>
        <w:ind w:left="-270" w:right="-272" w:hanging="450"/>
        <w:jc w:val="both"/>
        <w:rPr>
          <w:sz w:val="13"/>
          <w:szCs w:val="13"/>
          <w:lang w:val="en-AE"/>
        </w:rPr>
      </w:pPr>
      <w:r w:rsidRPr="008670BC">
        <w:rPr>
          <w:sz w:val="13"/>
          <w:szCs w:val="13"/>
          <w:lang w:val="en-AE"/>
        </w:rPr>
        <w:t xml:space="preserve"> </w:t>
      </w:r>
    </w:p>
    <w:p w14:paraId="5E663A7C" w14:textId="77777777" w:rsidR="000642C5" w:rsidRPr="008670BC" w:rsidRDefault="000642C5" w:rsidP="00DC1150">
      <w:pPr>
        <w:pStyle w:val="ListParagraph"/>
        <w:numPr>
          <w:ilvl w:val="0"/>
          <w:numId w:val="12"/>
        </w:numPr>
        <w:spacing w:before="0" w:after="0" w:line="240" w:lineRule="auto"/>
        <w:ind w:left="450" w:hanging="450"/>
        <w:jc w:val="both"/>
        <w:rPr>
          <w:b/>
          <w:bCs/>
          <w:sz w:val="13"/>
          <w:szCs w:val="13"/>
        </w:rPr>
      </w:pPr>
      <w:r w:rsidRPr="008670BC">
        <w:rPr>
          <w:b/>
          <w:bCs/>
          <w:sz w:val="13"/>
          <w:szCs w:val="13"/>
        </w:rPr>
        <w:t xml:space="preserve">Payment terms </w:t>
      </w:r>
    </w:p>
    <w:p w14:paraId="12DE975E" w14:textId="77777777" w:rsidR="000642C5" w:rsidRPr="008670BC" w:rsidRDefault="000642C5" w:rsidP="00DC1150">
      <w:pPr>
        <w:pStyle w:val="ListParagraph"/>
        <w:numPr>
          <w:ilvl w:val="1"/>
          <w:numId w:val="12"/>
        </w:numPr>
        <w:spacing w:before="0" w:after="0" w:line="240" w:lineRule="auto"/>
        <w:ind w:left="450" w:hanging="450"/>
        <w:jc w:val="both"/>
        <w:rPr>
          <w:sz w:val="13"/>
          <w:szCs w:val="13"/>
        </w:rPr>
      </w:pPr>
      <w:r w:rsidRPr="008670BC">
        <w:rPr>
          <w:sz w:val="13"/>
          <w:szCs w:val="13"/>
          <w:lang w:val="en-AE"/>
        </w:rPr>
        <w:t xml:space="preserve">All invoice amounts shall be due for payment without deduction on receipt of the invoice. </w:t>
      </w:r>
      <w:r w:rsidRPr="008670BC">
        <w:rPr>
          <w:sz w:val="13"/>
          <w:szCs w:val="13"/>
        </w:rPr>
        <w:t xml:space="preserve">No discounts shall be granted. </w:t>
      </w:r>
    </w:p>
    <w:p w14:paraId="0061AF58" w14:textId="084CAF93"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Payments shall be made to the bank account of </w:t>
      </w:r>
      <w:r w:rsidR="0086794C" w:rsidRPr="008670BC">
        <w:rPr>
          <w:sz w:val="13"/>
          <w:szCs w:val="13"/>
          <w:lang w:val="en-AE"/>
        </w:rPr>
        <w:t>TÜV Rheinland Middle East FZE</w:t>
      </w:r>
      <w:r w:rsidRPr="008670BC">
        <w:rPr>
          <w:sz w:val="13"/>
          <w:szCs w:val="13"/>
          <w:lang w:val="en-AE"/>
        </w:rPr>
        <w:t xml:space="preserve"> as indicated on the invoice, stating the invoice and customer numbers. </w:t>
      </w:r>
    </w:p>
    <w:p w14:paraId="3E906D4E" w14:textId="20172CCB"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In cases of default of payment, </w:t>
      </w:r>
      <w:r w:rsidR="0086794C" w:rsidRPr="008670BC">
        <w:rPr>
          <w:sz w:val="13"/>
          <w:szCs w:val="13"/>
          <w:lang w:val="en-AE"/>
        </w:rPr>
        <w:t>TÜV Rheinland Middle East FZE</w:t>
      </w:r>
      <w:r w:rsidRPr="008670BC">
        <w:rPr>
          <w:sz w:val="13"/>
          <w:szCs w:val="13"/>
          <w:lang w:val="en-AE"/>
        </w:rPr>
        <w:t xml:space="preserve"> shall be entitled to claim default interest at a rate of. 12% At the same time, </w:t>
      </w:r>
      <w:r w:rsidR="0086794C" w:rsidRPr="008670BC">
        <w:rPr>
          <w:sz w:val="13"/>
          <w:szCs w:val="13"/>
          <w:lang w:val="en-AE"/>
        </w:rPr>
        <w:t>TÜV Rheinland Middle East FZE</w:t>
      </w:r>
      <w:r w:rsidRPr="008670BC">
        <w:rPr>
          <w:sz w:val="13"/>
          <w:szCs w:val="13"/>
          <w:lang w:val="en-AE"/>
        </w:rPr>
        <w:t xml:space="preserve"> reserves the right to claim further damages.</w:t>
      </w:r>
    </w:p>
    <w:p w14:paraId="45BE14DD" w14:textId="045FF05B"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Should the client default in payment of the invoice despite being granted a reasonable grace period, </w:t>
      </w:r>
      <w:r w:rsidR="0086794C" w:rsidRPr="008670BC">
        <w:rPr>
          <w:sz w:val="13"/>
          <w:szCs w:val="13"/>
          <w:lang w:val="en-AE"/>
        </w:rPr>
        <w:t>TÜV Rheinland Middle East FZE</w:t>
      </w:r>
      <w:r w:rsidRPr="008670BC">
        <w:rPr>
          <w:sz w:val="13"/>
          <w:szCs w:val="13"/>
          <w:lang w:val="en-AE"/>
        </w:rPr>
        <w:t xml:space="preserve"> shall be entitled to cancel the contract, withdraw the certificate, claim damages for non-performance and refuse to continue performance of the contract.</w:t>
      </w:r>
    </w:p>
    <w:p w14:paraId="279C1CA4" w14:textId="77777777"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provisions set forth in article 8.4 shall also apply in cases involving returned cheques, cessation of payment, commencement of insolvency proceedings against the client’s assets or cases in which the commencement of insolvency proceedings has been dismissed due to lack of assets. </w:t>
      </w:r>
    </w:p>
    <w:p w14:paraId="468DCFCB" w14:textId="2D50C618"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Objections to the invoices of </w:t>
      </w:r>
      <w:r w:rsidR="0086794C" w:rsidRPr="008670BC">
        <w:rPr>
          <w:sz w:val="13"/>
          <w:szCs w:val="13"/>
          <w:lang w:val="en-AE"/>
        </w:rPr>
        <w:t>TÜV Rheinland Middle East FZE</w:t>
      </w:r>
      <w:r w:rsidRPr="008670BC">
        <w:rPr>
          <w:sz w:val="13"/>
          <w:szCs w:val="13"/>
          <w:lang w:val="en-AE"/>
        </w:rPr>
        <w:t xml:space="preserve"> shall be submitted in writing within two weeks of receipt of the invoice. </w:t>
      </w:r>
    </w:p>
    <w:p w14:paraId="28334E1C" w14:textId="4E768417" w:rsidR="000642C5" w:rsidRPr="008670BC" w:rsidRDefault="0086794C"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TÜV Rheinland Middle East FZE</w:t>
      </w:r>
      <w:r w:rsidR="000642C5" w:rsidRPr="008670BC">
        <w:rPr>
          <w:sz w:val="13"/>
          <w:szCs w:val="13"/>
          <w:lang w:val="en-AE"/>
        </w:rPr>
        <w:t xml:space="preserve"> shall be entitled to demand appropriate advance payments. </w:t>
      </w:r>
    </w:p>
    <w:p w14:paraId="53484A42" w14:textId="5706A9D9" w:rsidR="000642C5" w:rsidRPr="008670BC" w:rsidRDefault="0086794C"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TÜV Rheinland Middle East FZE</w:t>
      </w:r>
      <w:r w:rsidR="000642C5" w:rsidRPr="008670BC">
        <w:rPr>
          <w:sz w:val="13"/>
          <w:szCs w:val="13"/>
          <w:lang w:val="en-AE"/>
        </w:rPr>
        <w:t xml:space="preserve"> shall be entitled to raise its fees at the beginning of a month if overheads and/or purchase costs have increased. In this case, </w:t>
      </w:r>
      <w:r w:rsidRPr="008670BC">
        <w:rPr>
          <w:sz w:val="13"/>
          <w:szCs w:val="13"/>
          <w:lang w:val="en-AE"/>
        </w:rPr>
        <w:t>TÜV Rheinland Middle East FZE</w:t>
      </w:r>
      <w:r w:rsidR="000642C5" w:rsidRPr="008670BC">
        <w:rPr>
          <w:sz w:val="13"/>
          <w:szCs w:val="13"/>
          <w:lang w:val="en-AE"/>
        </w:rPr>
        <w:t xml:space="preserve"> shall notify the client in writing of the rise in fees. This notification shall be issued one month prior to the date on which the rise in fees shall come into effect (period of notice of changes in fees). If the rise in fees remains under 5% per contractual year, the client shall not have any special right of termination. If the rise in fees exceeds 5% per contractual year, the client shall be entitled to terminate the contractual </w:t>
      </w:r>
      <w:r w:rsidR="000642C5" w:rsidRPr="008670BC">
        <w:rPr>
          <w:sz w:val="13"/>
          <w:szCs w:val="13"/>
          <w:lang w:val="en-AE"/>
        </w:rPr>
        <w:t xml:space="preserve">relationship by the end of the period of notice of changes in fees. If the contract is not terminated, the changed fees shall be deemed to have been agreed upon expiry of the above period. </w:t>
      </w:r>
    </w:p>
    <w:p w14:paraId="2AE23008" w14:textId="4960E394" w:rsidR="00CF486A" w:rsidRPr="008670BC" w:rsidRDefault="00CF486A"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Any use tax, sales tax, value added tax, excise tax, duty, customs fee or charge of any nature whatsoever imposed by any government authority shall be paid/borne by the client in addition to the amount quoted.</w:t>
      </w:r>
    </w:p>
    <w:p w14:paraId="1755A7C3" w14:textId="100227B7"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Only legally established and undisputed claims may be offset against claims by </w:t>
      </w:r>
      <w:r w:rsidR="0086794C" w:rsidRPr="008670BC">
        <w:rPr>
          <w:sz w:val="13"/>
          <w:szCs w:val="13"/>
          <w:lang w:val="en-AE"/>
        </w:rPr>
        <w:t>TÜV Rheinland Middle East FZE</w:t>
      </w:r>
      <w:r w:rsidRPr="008670BC">
        <w:rPr>
          <w:sz w:val="13"/>
          <w:szCs w:val="13"/>
          <w:lang w:val="en-AE"/>
        </w:rPr>
        <w:t xml:space="preserve">. </w:t>
      </w:r>
    </w:p>
    <w:p w14:paraId="3C47C4C6" w14:textId="77777777" w:rsidR="00241F36" w:rsidRPr="008670BC" w:rsidRDefault="00241F36" w:rsidP="00241F36">
      <w:pPr>
        <w:pStyle w:val="ListParagraph"/>
        <w:spacing w:before="0" w:after="0" w:line="240" w:lineRule="auto"/>
        <w:ind w:left="450"/>
        <w:jc w:val="both"/>
        <w:rPr>
          <w:sz w:val="13"/>
          <w:szCs w:val="13"/>
          <w:lang w:val="en-AE"/>
        </w:rPr>
      </w:pPr>
    </w:p>
    <w:p w14:paraId="4C1198E3" w14:textId="77777777" w:rsidR="000642C5" w:rsidRPr="008670BC" w:rsidRDefault="000642C5" w:rsidP="000642C5">
      <w:pPr>
        <w:pStyle w:val="ListParagraph"/>
        <w:spacing w:before="0" w:after="0" w:line="240" w:lineRule="auto"/>
        <w:ind w:left="-270" w:right="-272" w:hanging="450"/>
        <w:jc w:val="both"/>
        <w:rPr>
          <w:sz w:val="13"/>
          <w:szCs w:val="13"/>
          <w:lang w:val="en-AE"/>
        </w:rPr>
      </w:pPr>
    </w:p>
    <w:p w14:paraId="5A232D61" w14:textId="77777777" w:rsidR="000642C5" w:rsidRPr="008670BC" w:rsidRDefault="000642C5" w:rsidP="00DC1150">
      <w:pPr>
        <w:pStyle w:val="ListParagraph"/>
        <w:numPr>
          <w:ilvl w:val="0"/>
          <w:numId w:val="12"/>
        </w:numPr>
        <w:spacing w:before="0" w:after="0" w:line="240" w:lineRule="auto"/>
        <w:ind w:left="450" w:hanging="450"/>
        <w:jc w:val="both"/>
        <w:rPr>
          <w:b/>
          <w:bCs/>
          <w:sz w:val="13"/>
          <w:szCs w:val="13"/>
        </w:rPr>
      </w:pPr>
      <w:r w:rsidRPr="008670BC">
        <w:rPr>
          <w:b/>
          <w:bCs/>
          <w:sz w:val="13"/>
          <w:szCs w:val="13"/>
        </w:rPr>
        <w:t xml:space="preserve">Acceptance </w:t>
      </w:r>
    </w:p>
    <w:p w14:paraId="1290D82E" w14:textId="3024FBCE" w:rsidR="000642C5" w:rsidRPr="008670BC" w:rsidRDefault="000642C5" w:rsidP="00DC1150">
      <w:pPr>
        <w:pStyle w:val="ListParagraph"/>
        <w:numPr>
          <w:ilvl w:val="1"/>
          <w:numId w:val="12"/>
        </w:numPr>
        <w:spacing w:before="0" w:after="0" w:line="240" w:lineRule="auto"/>
        <w:ind w:left="450" w:hanging="450"/>
        <w:jc w:val="both"/>
        <w:rPr>
          <w:sz w:val="13"/>
          <w:szCs w:val="13"/>
        </w:rPr>
      </w:pPr>
      <w:r w:rsidRPr="008670BC">
        <w:rPr>
          <w:sz w:val="13"/>
          <w:szCs w:val="13"/>
          <w:lang w:val="en-AE"/>
        </w:rPr>
        <w:t xml:space="preserve">Any part of the work ordered which is complete in itself may be presented by </w:t>
      </w:r>
      <w:r w:rsidR="0086794C" w:rsidRPr="008670BC">
        <w:rPr>
          <w:sz w:val="13"/>
          <w:szCs w:val="13"/>
          <w:lang w:val="en-AE"/>
        </w:rPr>
        <w:t>TÜV Rheinland Middle East FZE</w:t>
      </w:r>
      <w:r w:rsidRPr="008670BC">
        <w:rPr>
          <w:sz w:val="13"/>
          <w:szCs w:val="13"/>
          <w:lang w:val="en-AE"/>
        </w:rPr>
        <w:t xml:space="preserve"> for acceptance as an instalment. </w:t>
      </w:r>
      <w:r w:rsidRPr="008670BC">
        <w:rPr>
          <w:sz w:val="13"/>
          <w:szCs w:val="13"/>
        </w:rPr>
        <w:t xml:space="preserve">The client shall be obliged to accept it immediately. </w:t>
      </w:r>
    </w:p>
    <w:p w14:paraId="59C20C70" w14:textId="1CE58ACB"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If the client fails to fulfil its acceptance obligation immediately, acceptance shall be deemed to have taken place 4 calendar weeks after performance of the work if </w:t>
      </w:r>
      <w:r w:rsidR="0086794C" w:rsidRPr="008670BC">
        <w:rPr>
          <w:sz w:val="13"/>
          <w:szCs w:val="13"/>
          <w:lang w:val="en-AE"/>
        </w:rPr>
        <w:t>TÜV Rheinland Middle East FZE</w:t>
      </w:r>
      <w:r w:rsidRPr="008670BC">
        <w:rPr>
          <w:sz w:val="13"/>
          <w:szCs w:val="13"/>
          <w:lang w:val="en-AE"/>
        </w:rPr>
        <w:t xml:space="preserve"> has specifically made the client aware of the </w:t>
      </w:r>
      <w:r w:rsidR="009D12E8" w:rsidRPr="008670BC">
        <w:rPr>
          <w:sz w:val="13"/>
          <w:szCs w:val="13"/>
          <w:lang w:val="en-AE"/>
        </w:rPr>
        <w:t>deadline</w:t>
      </w:r>
      <w:r w:rsidRPr="008670BC">
        <w:rPr>
          <w:sz w:val="13"/>
          <w:szCs w:val="13"/>
          <w:lang w:val="en-AE"/>
        </w:rPr>
        <w:t xml:space="preserve"> upon performance of the service. </w:t>
      </w:r>
    </w:p>
    <w:p w14:paraId="53457BD0" w14:textId="77777777" w:rsidR="00241F36" w:rsidRPr="008670BC" w:rsidRDefault="00241F36" w:rsidP="00241F36">
      <w:pPr>
        <w:pStyle w:val="ListParagraph"/>
        <w:spacing w:before="0" w:after="0" w:line="240" w:lineRule="auto"/>
        <w:ind w:left="450"/>
        <w:jc w:val="both"/>
        <w:rPr>
          <w:sz w:val="13"/>
          <w:szCs w:val="13"/>
          <w:lang w:val="en-AE"/>
        </w:rPr>
      </w:pPr>
    </w:p>
    <w:p w14:paraId="04641994" w14:textId="77777777" w:rsidR="000642C5" w:rsidRPr="008670BC" w:rsidRDefault="000642C5" w:rsidP="000642C5">
      <w:pPr>
        <w:pStyle w:val="ListParagraph"/>
        <w:spacing w:before="0" w:after="0" w:line="240" w:lineRule="auto"/>
        <w:ind w:left="-270" w:hanging="450"/>
        <w:jc w:val="both"/>
        <w:rPr>
          <w:sz w:val="13"/>
          <w:szCs w:val="13"/>
          <w:lang w:val="en-AE"/>
        </w:rPr>
      </w:pPr>
    </w:p>
    <w:p w14:paraId="0F360408" w14:textId="77777777" w:rsidR="000642C5" w:rsidRPr="008670BC" w:rsidRDefault="000642C5" w:rsidP="00DC1150">
      <w:pPr>
        <w:pStyle w:val="ListParagraph"/>
        <w:numPr>
          <w:ilvl w:val="0"/>
          <w:numId w:val="12"/>
        </w:numPr>
        <w:spacing w:before="0" w:after="0" w:line="240" w:lineRule="auto"/>
        <w:ind w:left="450" w:hanging="450"/>
        <w:jc w:val="both"/>
        <w:rPr>
          <w:b/>
          <w:bCs/>
          <w:sz w:val="13"/>
          <w:szCs w:val="13"/>
        </w:rPr>
      </w:pPr>
      <w:r w:rsidRPr="008670BC">
        <w:rPr>
          <w:b/>
          <w:bCs/>
          <w:sz w:val="13"/>
          <w:szCs w:val="13"/>
        </w:rPr>
        <w:t xml:space="preserve">Confidentiality </w:t>
      </w:r>
    </w:p>
    <w:p w14:paraId="26456267" w14:textId="21D7FB43"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proofErr w:type="gramStart"/>
      <w:r w:rsidRPr="008670BC">
        <w:rPr>
          <w:sz w:val="13"/>
          <w:szCs w:val="13"/>
          <w:lang w:val="en-AE"/>
        </w:rPr>
        <w:t>For the purpose of</w:t>
      </w:r>
      <w:proofErr w:type="gramEnd"/>
      <w:r w:rsidRPr="008670BC">
        <w:rPr>
          <w:sz w:val="13"/>
          <w:szCs w:val="13"/>
          <w:lang w:val="en-AE"/>
        </w:rPr>
        <w:t xml:space="preserve"> this agreement, “confidential information” means all information, documents, images, drawings, know-how, data, samples and project documentation which one party (the “disclosing party”) hands over, transfers or otherwise discloses to the other party (the “receiving party”). Confidential information also includes paper copies and electronic copies of such information. As well as Information about the client/ applicant obtained from sources other than the client /applicant (e.g. complainant, </w:t>
      </w:r>
      <w:r w:rsidR="009D12E8" w:rsidRPr="008670BC">
        <w:rPr>
          <w:sz w:val="13"/>
          <w:szCs w:val="13"/>
          <w:lang w:val="en-AE"/>
        </w:rPr>
        <w:t xml:space="preserve">regulators, </w:t>
      </w:r>
      <w:r w:rsidRPr="008670BC">
        <w:rPr>
          <w:sz w:val="13"/>
          <w:szCs w:val="13"/>
          <w:lang w:val="en-AE"/>
        </w:rPr>
        <w:t xml:space="preserve">etc). information that the client/applicant makes publicly available are not considered as confidential information. </w:t>
      </w:r>
    </w:p>
    <w:p w14:paraId="4EDCC56F" w14:textId="77777777"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disclosing party shall mark all confidential information disclosed in written form as confidential before passing it on to the receiving party. The same applies to confidential information transmitted by e-mail. If confidential information is disclosed orally, the receiving party shall be appropriately informed in advance. </w:t>
      </w:r>
    </w:p>
    <w:p w14:paraId="068F2020" w14:textId="7F55540F"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All confidential information which the disclosing party transmits or otherwise discloses to the receiving party in accordance with this agreement: a) may only be used by the receiving party for the purposes of performing the purpose of the contract, unless expressly otherwise agreed in writing with the disclosing party; b) may not be copied, distributed, published or otherwise disclosed by the receiving party, unless this is necessary for fulfilling the purpose of the contract or </w:t>
      </w:r>
      <w:r w:rsidR="0086794C" w:rsidRPr="008670BC">
        <w:rPr>
          <w:sz w:val="13"/>
          <w:szCs w:val="13"/>
          <w:lang w:val="en-AE"/>
        </w:rPr>
        <w:t>TÜV Rheinland Middle East FZE</w:t>
      </w:r>
      <w:r w:rsidRPr="008670BC">
        <w:rPr>
          <w:sz w:val="13"/>
          <w:szCs w:val="13"/>
          <w:lang w:val="en-AE"/>
        </w:rPr>
        <w:t xml:space="preserve"> is required to pass on confidential information, inspection reports or documentation to the authorities or third parties that are involved in the performance of the contract; c) must be treated by the receiving party with the same level of confidentiality as the receiving party uses to protect its own confidential information, but never with a lesser level of confidentiality than that which is objectively required. </w:t>
      </w:r>
    </w:p>
    <w:p w14:paraId="4A07F675" w14:textId="2DF4BB1E" w:rsidR="00DA10DF" w:rsidRPr="008670BC" w:rsidRDefault="00DA10DF" w:rsidP="00FC78B4">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TUV Rheinland Middle East FZE shall treat the information disclosed from sources other than the client (e.g.: complainant, regulators) as confidential.</w:t>
      </w:r>
    </w:p>
    <w:p w14:paraId="3BD01536" w14:textId="77777777" w:rsidR="000642C5" w:rsidRPr="008670BC" w:rsidRDefault="000642C5" w:rsidP="00FC78B4">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receiving party shall disclose any confidential information received from the disclosing party only to those of its employees who need this information to perform the services required for the subject matter of this contract. The receiving party undertakes to oblige these employees to observe the same level of secrecy as set forth in this confidentiality clause. </w:t>
      </w:r>
    </w:p>
    <w:p w14:paraId="38CA8B30" w14:textId="77777777" w:rsidR="000642C5" w:rsidRPr="008670BC" w:rsidRDefault="000642C5" w:rsidP="00FC78B4">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Information for which the receiving party can furnish proof that: a) it was generally known at the time of disclosure or has become general knowledge without violation of this agreement; or b) it was disclosed to the receiving party by a third party entitled to disclose this information; or c) the receiving party already possessed this information prior to disclosure by the disclosing party; or d) the receiving party developed it itself, irrespective of disclosure by the disclosing party, </w:t>
      </w:r>
      <w:r w:rsidRPr="008670BC">
        <w:rPr>
          <w:sz w:val="13"/>
          <w:szCs w:val="13"/>
          <w:lang w:val="en-AE"/>
        </w:rPr>
        <w:lastRenderedPageBreak/>
        <w:t xml:space="preserve">shall not be deemed to constitute “confidential information” as defined in this agreement. </w:t>
      </w:r>
    </w:p>
    <w:p w14:paraId="4D4A90B8" w14:textId="56E49CA9" w:rsidR="000642C5" w:rsidRPr="008670BC" w:rsidRDefault="000642C5" w:rsidP="00FC78B4">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All confidential information shall remain the property of the disclosing party. The receiving party hereby agrees to immediately (</w:t>
      </w:r>
      <w:proofErr w:type="spellStart"/>
      <w:r w:rsidRPr="008670BC">
        <w:rPr>
          <w:sz w:val="13"/>
          <w:szCs w:val="13"/>
          <w:lang w:val="en-AE"/>
        </w:rPr>
        <w:t>i</w:t>
      </w:r>
      <w:proofErr w:type="spellEnd"/>
      <w:r w:rsidRPr="008670BC">
        <w:rPr>
          <w:sz w:val="13"/>
          <w:szCs w:val="13"/>
          <w:lang w:val="en-AE"/>
        </w:rPr>
        <w:t xml:space="preserve">) return all confidential information, including all copies, to the disclosing party, and/or, on request by the disclosing party, to (ii) destroy all confidential information, including all copies, and confirm the destruction of this confidential information to the disclosing party in writing, at any time if so requested by the disclosing party but at the latest and without special request after termination or expiry of this contract. This does not extend to include reports and certificates prepared for the client solely for the purpose of fulfilling the obligations under this contract, which shall remain with the client. However, </w:t>
      </w:r>
      <w:r w:rsidR="0086794C" w:rsidRPr="008670BC">
        <w:rPr>
          <w:sz w:val="13"/>
          <w:szCs w:val="13"/>
          <w:lang w:val="en-AE"/>
        </w:rPr>
        <w:t>TÜV Rheinland Middle East FZE</w:t>
      </w:r>
      <w:r w:rsidRPr="008670BC">
        <w:rPr>
          <w:sz w:val="13"/>
          <w:szCs w:val="13"/>
          <w:lang w:val="en-AE"/>
        </w:rPr>
        <w:t xml:space="preserve"> is entitled to make file copies of such reports, certificates and confidential information that forms the basis for preparing these reports and certificates </w:t>
      </w:r>
      <w:proofErr w:type="gramStart"/>
      <w:r w:rsidRPr="008670BC">
        <w:rPr>
          <w:sz w:val="13"/>
          <w:szCs w:val="13"/>
          <w:lang w:val="en-AE"/>
        </w:rPr>
        <w:t>in order to</w:t>
      </w:r>
      <w:proofErr w:type="gramEnd"/>
      <w:r w:rsidRPr="008670BC">
        <w:rPr>
          <w:sz w:val="13"/>
          <w:szCs w:val="13"/>
          <w:lang w:val="en-AE"/>
        </w:rPr>
        <w:t xml:space="preserve"> evidence the correctness of its results and for general documentation purposes. </w:t>
      </w:r>
    </w:p>
    <w:p w14:paraId="409ECC58" w14:textId="77777777" w:rsidR="000642C5" w:rsidRPr="008670BC" w:rsidRDefault="000642C5" w:rsidP="00FC78B4">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From the start of this contract and for a period of 03 (three) years after termination or expiry of this contract, the receiving party shall maintain strict secrecy of all confidential information and shall not disclose this information to any third parties or use it for itself. </w:t>
      </w:r>
    </w:p>
    <w:p w14:paraId="27121C38" w14:textId="4E1702EF" w:rsidR="000642C5" w:rsidRPr="008670BC" w:rsidRDefault="0086794C" w:rsidP="00FC78B4">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TÜV Rheinland Middle East FZE</w:t>
      </w:r>
      <w:r w:rsidR="000642C5" w:rsidRPr="008670BC">
        <w:rPr>
          <w:sz w:val="13"/>
          <w:szCs w:val="13"/>
          <w:lang w:val="en-AE"/>
        </w:rPr>
        <w:t xml:space="preserve">, </w:t>
      </w:r>
      <w:r w:rsidR="003B4585" w:rsidRPr="008670BC">
        <w:rPr>
          <w:sz w:val="13"/>
          <w:szCs w:val="13"/>
          <w:lang w:val="en-AE"/>
        </w:rPr>
        <w:t>UAE</w:t>
      </w:r>
      <w:r w:rsidR="000642C5" w:rsidRPr="008670BC">
        <w:rPr>
          <w:sz w:val="13"/>
          <w:szCs w:val="13"/>
          <w:lang w:val="en-AE"/>
        </w:rPr>
        <w:t xml:space="preserve"> shall inform the client, in advance, of the information it intends to place in the public domain. </w:t>
      </w:r>
    </w:p>
    <w:p w14:paraId="7CD1586C" w14:textId="02AE3C00" w:rsidR="000642C5" w:rsidRPr="008670BC" w:rsidRDefault="0086794C" w:rsidP="00FC78B4">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TÜV Rheinland Middle East FZE</w:t>
      </w:r>
      <w:r w:rsidR="000642C5" w:rsidRPr="008670BC">
        <w:rPr>
          <w:sz w:val="13"/>
          <w:szCs w:val="13"/>
          <w:lang w:val="en-AE"/>
        </w:rPr>
        <w:t xml:space="preserve">, </w:t>
      </w:r>
      <w:r w:rsidR="003B4585" w:rsidRPr="008670BC">
        <w:rPr>
          <w:sz w:val="13"/>
          <w:szCs w:val="13"/>
          <w:lang w:val="en-AE"/>
        </w:rPr>
        <w:t>UAE</w:t>
      </w:r>
      <w:r w:rsidR="000642C5" w:rsidRPr="008670BC">
        <w:rPr>
          <w:sz w:val="13"/>
          <w:szCs w:val="13"/>
          <w:lang w:val="en-AE"/>
        </w:rPr>
        <w:t xml:space="preserve"> is required by law or authorized by contractual commitments to release confidential information, the client or individual concerned shall, unless prohibited by law, be notified of the information provided.</w:t>
      </w:r>
    </w:p>
    <w:p w14:paraId="76233A5A" w14:textId="77777777" w:rsidR="00241F36" w:rsidRPr="008670BC" w:rsidRDefault="00241F36" w:rsidP="00241F36">
      <w:pPr>
        <w:pStyle w:val="ListParagraph"/>
        <w:spacing w:before="0" w:after="0" w:line="240" w:lineRule="auto"/>
        <w:ind w:left="450"/>
        <w:jc w:val="both"/>
        <w:rPr>
          <w:sz w:val="13"/>
          <w:szCs w:val="13"/>
          <w:lang w:val="en-AE"/>
        </w:rPr>
      </w:pPr>
    </w:p>
    <w:p w14:paraId="063A1D66" w14:textId="77777777" w:rsidR="000642C5" w:rsidRPr="008670BC" w:rsidRDefault="000642C5" w:rsidP="000642C5">
      <w:pPr>
        <w:spacing w:before="0" w:after="0" w:line="240" w:lineRule="auto"/>
        <w:ind w:left="-270" w:hanging="450"/>
        <w:jc w:val="both"/>
        <w:rPr>
          <w:sz w:val="13"/>
          <w:szCs w:val="13"/>
          <w:lang w:val="en-AE"/>
        </w:rPr>
      </w:pPr>
    </w:p>
    <w:p w14:paraId="7E8696C3" w14:textId="0B91C702" w:rsidR="000642C5" w:rsidRPr="008670BC" w:rsidRDefault="00281221" w:rsidP="00DC1150">
      <w:pPr>
        <w:pStyle w:val="ListParagraph"/>
        <w:numPr>
          <w:ilvl w:val="0"/>
          <w:numId w:val="12"/>
        </w:numPr>
        <w:spacing w:before="0" w:after="0" w:line="240" w:lineRule="auto"/>
        <w:ind w:left="450" w:hanging="450"/>
        <w:jc w:val="both"/>
        <w:rPr>
          <w:b/>
          <w:bCs/>
          <w:sz w:val="13"/>
          <w:szCs w:val="13"/>
          <w:lang w:val="en-AE"/>
        </w:rPr>
      </w:pPr>
      <w:r w:rsidRPr="008670BC">
        <w:rPr>
          <w:b/>
          <w:bCs/>
          <w:sz w:val="13"/>
          <w:szCs w:val="13"/>
          <w:lang w:val="en-AE"/>
        </w:rPr>
        <w:t>Copyrights and rights of use, publication</w:t>
      </w:r>
    </w:p>
    <w:p w14:paraId="2657664D" w14:textId="4D04FD79" w:rsidR="00281221" w:rsidRPr="008670BC" w:rsidRDefault="00281221"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The copyrights of the reports, test reports, test results, expert opinions, results, calculations, representations, etc. prepared within the scope of the order (hereinafter "Performance Results") are owned by TÜV</w:t>
      </w:r>
      <w:r w:rsidR="00E6721C" w:rsidRPr="008670BC">
        <w:rPr>
          <w:sz w:val="13"/>
          <w:szCs w:val="13"/>
          <w:lang w:val="en-AE"/>
        </w:rPr>
        <w:t xml:space="preserve"> Rheinland Middle East FZE</w:t>
      </w:r>
      <w:r w:rsidRPr="008670BC">
        <w:rPr>
          <w:sz w:val="13"/>
          <w:szCs w:val="13"/>
          <w:lang w:val="en-AE"/>
        </w:rPr>
        <w:t xml:space="preserve">. As the owner of the copyrights, </w:t>
      </w:r>
      <w:r w:rsidR="005432D3" w:rsidRPr="008670BC">
        <w:rPr>
          <w:sz w:val="13"/>
          <w:szCs w:val="13"/>
          <w:lang w:val="en-AE"/>
        </w:rPr>
        <w:t>TÜV Rheinland Middle East FZE</w:t>
      </w:r>
      <w:r w:rsidRPr="008670BC">
        <w:rPr>
          <w:sz w:val="13"/>
          <w:szCs w:val="13"/>
          <w:lang w:val="en-AE"/>
        </w:rPr>
        <w:t xml:space="preserve"> is free to grant others the right to use the Performance Results for individual or all types of use (hereinafter "Right of Use"). </w:t>
      </w:r>
    </w:p>
    <w:p w14:paraId="01FC5D5C" w14:textId="18F1F49E" w:rsidR="00281221" w:rsidRPr="008670BC" w:rsidRDefault="00281221"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The client receives a non-exclusive, unlimited, non-transferable, non-sub licensable right of use to the contents of the service results produced within the scope of the order, unless otherwise contractually agreed in individual cases. The Right of Use is limited to the contractual purpose (e.g. use of test reports, audit reports as proof of audits carried out or in the case of a contractually agreed review of a management system for conformity with certification conditions as proof of the corresponding decision).</w:t>
      </w:r>
    </w:p>
    <w:p w14:paraId="49964D8A" w14:textId="79879619" w:rsidR="00281221" w:rsidRPr="008670BC" w:rsidRDefault="00281221" w:rsidP="00FC78B4">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transfer of Rights of Use of the generated Performance Results regulated in Clause 11.2. of these GTC is subject to full payment of the remuneration agreed in </w:t>
      </w:r>
      <w:proofErr w:type="spellStart"/>
      <w:r w:rsidRPr="008670BC">
        <w:rPr>
          <w:sz w:val="13"/>
          <w:szCs w:val="13"/>
          <w:lang w:val="en-AE"/>
        </w:rPr>
        <w:t>favor</w:t>
      </w:r>
      <w:proofErr w:type="spellEnd"/>
      <w:r w:rsidRPr="008670BC">
        <w:rPr>
          <w:sz w:val="13"/>
          <w:szCs w:val="13"/>
          <w:lang w:val="en-AE"/>
        </w:rPr>
        <w:t xml:space="preserve"> of </w:t>
      </w:r>
      <w:r w:rsidR="005432D3" w:rsidRPr="008670BC">
        <w:rPr>
          <w:sz w:val="13"/>
          <w:szCs w:val="13"/>
          <w:lang w:val="en-AE"/>
        </w:rPr>
        <w:t>TÜV Rheinland Middle East FZE</w:t>
      </w:r>
      <w:r w:rsidRPr="008670BC">
        <w:rPr>
          <w:sz w:val="13"/>
          <w:szCs w:val="13"/>
          <w:lang w:val="en-AE"/>
        </w:rPr>
        <w:t xml:space="preserve">.  </w:t>
      </w:r>
    </w:p>
    <w:p w14:paraId="26298D0A" w14:textId="5961265E" w:rsidR="00281221" w:rsidRPr="008670BC" w:rsidRDefault="00281221" w:rsidP="00FC78B4">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client may only pass on the Performance Results in full unless </w:t>
      </w:r>
      <w:r w:rsidR="005432D3" w:rsidRPr="008670BC">
        <w:rPr>
          <w:sz w:val="13"/>
          <w:szCs w:val="13"/>
          <w:lang w:val="en-AE"/>
        </w:rPr>
        <w:t>TÜV Rheinland Middle East FZE</w:t>
      </w:r>
      <w:r w:rsidRPr="008670BC">
        <w:rPr>
          <w:sz w:val="13"/>
          <w:szCs w:val="13"/>
          <w:lang w:val="en-AE"/>
        </w:rPr>
        <w:t xml:space="preserve"> has given its prior written consent to the partial passing on of Performance Results.</w:t>
      </w:r>
    </w:p>
    <w:p w14:paraId="23148450" w14:textId="2CDA3CC0" w:rsidR="00281221" w:rsidRPr="008670BC" w:rsidRDefault="00281221" w:rsidP="00FC78B4">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Any publication or reproduction of the Performance Results for advertising purposes or any further use of the Performance Results beyond the scope regulated in Clause 11.2 requires the prior written consent of </w:t>
      </w:r>
      <w:r w:rsidR="005432D3" w:rsidRPr="008670BC">
        <w:rPr>
          <w:sz w:val="13"/>
          <w:szCs w:val="13"/>
          <w:lang w:val="en-AE"/>
        </w:rPr>
        <w:t>TÜV Rheinland Middle East FZE</w:t>
      </w:r>
      <w:r w:rsidRPr="008670BC">
        <w:rPr>
          <w:sz w:val="13"/>
          <w:szCs w:val="13"/>
          <w:lang w:val="en-AE"/>
        </w:rPr>
        <w:t xml:space="preserve"> in each individual case. The client shall be responsible for and hold </w:t>
      </w:r>
      <w:r w:rsidR="005432D3" w:rsidRPr="008670BC">
        <w:rPr>
          <w:sz w:val="13"/>
          <w:szCs w:val="13"/>
          <w:lang w:val="en-AE"/>
        </w:rPr>
        <w:t>TÜV Rheinland Middle East FZE</w:t>
      </w:r>
      <w:r w:rsidRPr="008670BC">
        <w:rPr>
          <w:sz w:val="13"/>
          <w:szCs w:val="13"/>
          <w:lang w:val="en-AE"/>
        </w:rPr>
        <w:t xml:space="preserve"> harmless from any damages or complaints caused by publication or duplication of the service results for promotion purposes. </w:t>
      </w:r>
    </w:p>
    <w:p w14:paraId="6524B612" w14:textId="3F566A7B" w:rsidR="00281221" w:rsidRPr="008670BC" w:rsidRDefault="005432D3" w:rsidP="00FC78B4">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TÜV Rheinland Middle East FZE</w:t>
      </w:r>
      <w:r w:rsidR="00281221" w:rsidRPr="008670BC">
        <w:rPr>
          <w:sz w:val="13"/>
          <w:szCs w:val="13"/>
          <w:lang w:val="en-AE"/>
        </w:rPr>
        <w:t xml:space="preserve"> may revoke a once given approval according to Clause 10.5 at any time without stating reasons. In this case, the client is obliged to stop the transfer of the Performance Results immediately at its own expense and, as far as possible, to withdraw publications. </w:t>
      </w:r>
    </w:p>
    <w:p w14:paraId="2DABFAD2" w14:textId="0FFDCFCD" w:rsidR="000F2578" w:rsidRPr="008670BC" w:rsidRDefault="00281221" w:rsidP="00FC78B4">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consent of </w:t>
      </w:r>
      <w:r w:rsidR="005432D3" w:rsidRPr="008670BC">
        <w:rPr>
          <w:sz w:val="13"/>
          <w:szCs w:val="13"/>
          <w:lang w:val="en-AE"/>
        </w:rPr>
        <w:t>TÜV Rheinland Middle East FZE</w:t>
      </w:r>
      <w:r w:rsidRPr="008670BC">
        <w:rPr>
          <w:sz w:val="13"/>
          <w:szCs w:val="13"/>
          <w:lang w:val="en-AE"/>
        </w:rPr>
        <w:t xml:space="preserve"> to publication does not entitle the client to use the corporate logo of </w:t>
      </w:r>
      <w:r w:rsidR="005432D3" w:rsidRPr="008670BC">
        <w:rPr>
          <w:sz w:val="13"/>
          <w:szCs w:val="13"/>
          <w:lang w:val="en-AE"/>
        </w:rPr>
        <w:t>TÜV Rheinland</w:t>
      </w:r>
      <w:r w:rsidRPr="008670BC">
        <w:rPr>
          <w:sz w:val="13"/>
          <w:szCs w:val="13"/>
          <w:lang w:val="en-AE"/>
        </w:rPr>
        <w:t xml:space="preserve">, also registered </w:t>
      </w:r>
      <w:r w:rsidRPr="008670BC">
        <w:rPr>
          <w:sz w:val="13"/>
          <w:szCs w:val="13"/>
          <w:lang w:val="en-AE"/>
        </w:rPr>
        <w:t>as a Union trademark (Reg.-No.: 005871116) or the corporate design of TÜV</w:t>
      </w:r>
      <w:r w:rsidR="005E27EB" w:rsidRPr="008670BC">
        <w:rPr>
          <w:sz w:val="13"/>
          <w:szCs w:val="13"/>
          <w:lang w:val="en-AE"/>
        </w:rPr>
        <w:t xml:space="preserve"> Rheinland</w:t>
      </w:r>
      <w:r w:rsidRPr="008670BC">
        <w:rPr>
          <w:sz w:val="13"/>
          <w:szCs w:val="13"/>
          <w:lang w:val="en-AE"/>
        </w:rPr>
        <w:t xml:space="preserve"> as reference advertising.</w:t>
      </w:r>
    </w:p>
    <w:p w14:paraId="6C1B3A70" w14:textId="77777777" w:rsidR="00241F36" w:rsidRPr="008670BC" w:rsidRDefault="00241F36" w:rsidP="00241F36">
      <w:pPr>
        <w:pStyle w:val="ListParagraph"/>
        <w:spacing w:before="0" w:after="0" w:line="240" w:lineRule="auto"/>
        <w:ind w:left="450"/>
        <w:jc w:val="both"/>
        <w:rPr>
          <w:sz w:val="13"/>
          <w:szCs w:val="13"/>
          <w:lang w:val="en-AE"/>
        </w:rPr>
      </w:pPr>
    </w:p>
    <w:p w14:paraId="03D0418C" w14:textId="77777777" w:rsidR="00EF0C8D" w:rsidRPr="008670BC" w:rsidRDefault="00EF0C8D" w:rsidP="00281221">
      <w:pPr>
        <w:spacing w:before="0" w:after="0" w:line="240" w:lineRule="auto"/>
        <w:jc w:val="both"/>
        <w:rPr>
          <w:sz w:val="13"/>
          <w:szCs w:val="13"/>
          <w:lang w:val="en-AE"/>
        </w:rPr>
      </w:pPr>
    </w:p>
    <w:p w14:paraId="20459065" w14:textId="433E4097" w:rsidR="000642C5" w:rsidRPr="008670BC" w:rsidRDefault="000642C5" w:rsidP="00FC78B4">
      <w:pPr>
        <w:pStyle w:val="ListParagraph"/>
        <w:numPr>
          <w:ilvl w:val="0"/>
          <w:numId w:val="12"/>
        </w:numPr>
        <w:spacing w:before="0" w:after="0" w:line="240" w:lineRule="auto"/>
        <w:ind w:left="450" w:hanging="450"/>
        <w:jc w:val="both"/>
        <w:rPr>
          <w:b/>
          <w:bCs/>
          <w:sz w:val="13"/>
          <w:szCs w:val="13"/>
          <w:lang w:val="en-AE"/>
        </w:rPr>
      </w:pPr>
      <w:r w:rsidRPr="008670BC">
        <w:rPr>
          <w:b/>
          <w:bCs/>
          <w:sz w:val="13"/>
          <w:szCs w:val="13"/>
          <w:lang w:val="en-AE"/>
        </w:rPr>
        <w:t xml:space="preserve">Liability of </w:t>
      </w:r>
      <w:r w:rsidR="0086794C" w:rsidRPr="008670BC">
        <w:rPr>
          <w:b/>
          <w:bCs/>
          <w:sz w:val="13"/>
          <w:szCs w:val="13"/>
          <w:lang w:val="en-AE"/>
        </w:rPr>
        <w:t>TÜV Rheinland Middle East FZE</w:t>
      </w:r>
      <w:r w:rsidRPr="008670BC">
        <w:rPr>
          <w:b/>
          <w:bCs/>
          <w:sz w:val="13"/>
          <w:szCs w:val="13"/>
          <w:lang w:val="en-AE"/>
        </w:rPr>
        <w:t xml:space="preserve"> </w:t>
      </w:r>
    </w:p>
    <w:p w14:paraId="27C1360E" w14:textId="46A29CC2" w:rsidR="000642C5" w:rsidRPr="008670BC" w:rsidRDefault="000642C5" w:rsidP="00FC78B4">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Irrespective of the legal basis and in particular in the event of a breach of contractual obligations and tort, the liability of </w:t>
      </w:r>
      <w:r w:rsidR="0086794C" w:rsidRPr="008670BC">
        <w:rPr>
          <w:sz w:val="13"/>
          <w:szCs w:val="13"/>
          <w:lang w:val="en-AE"/>
        </w:rPr>
        <w:t>TÜV Rheinland Middle East FZE</w:t>
      </w:r>
      <w:r w:rsidRPr="008670BC">
        <w:rPr>
          <w:sz w:val="13"/>
          <w:szCs w:val="13"/>
          <w:lang w:val="en-AE"/>
        </w:rPr>
        <w:t xml:space="preserve"> for all damage, loss and reimbursement of expenses caused by legal representatives and/or employees of </w:t>
      </w:r>
      <w:r w:rsidR="0086794C" w:rsidRPr="008670BC">
        <w:rPr>
          <w:sz w:val="13"/>
          <w:szCs w:val="13"/>
          <w:lang w:val="en-AE"/>
        </w:rPr>
        <w:t>TÜV Rheinland Middle East FZE</w:t>
      </w:r>
      <w:r w:rsidRPr="008670BC">
        <w:rPr>
          <w:sz w:val="13"/>
          <w:szCs w:val="13"/>
          <w:lang w:val="en-AE"/>
        </w:rPr>
        <w:t xml:space="preserve"> shall be limited to: (</w:t>
      </w:r>
      <w:proofErr w:type="spellStart"/>
      <w:r w:rsidRPr="008670BC">
        <w:rPr>
          <w:sz w:val="13"/>
          <w:szCs w:val="13"/>
          <w:lang w:val="en-AE"/>
        </w:rPr>
        <w:t>i</w:t>
      </w:r>
      <w:proofErr w:type="spellEnd"/>
      <w:r w:rsidRPr="008670BC">
        <w:rPr>
          <w:sz w:val="13"/>
          <w:szCs w:val="13"/>
          <w:lang w:val="en-AE"/>
        </w:rPr>
        <w:t xml:space="preserve">) in the case of contract with a fixed overall fee, </w:t>
      </w:r>
      <w:r w:rsidR="005E065D" w:rsidRPr="008670BC">
        <w:rPr>
          <w:sz w:val="13"/>
          <w:szCs w:val="13"/>
          <w:lang w:val="en-AE"/>
        </w:rPr>
        <w:t>100 % of</w:t>
      </w:r>
      <w:r w:rsidRPr="008670BC">
        <w:rPr>
          <w:sz w:val="13"/>
          <w:szCs w:val="13"/>
          <w:lang w:val="en-AE"/>
        </w:rPr>
        <w:t xml:space="preserve"> the overall fee for the entire contract; (ii) in the case of contracts for annually recurring services, to the agreed annual fee; (iii) in the case of contracts expressly charged on a time and material basis to a maximum of 20,000 Euro and (iv) in the case of framework agreements that provide for the possibility of placing individual orders, to an amount equal to three times the fee for the individual order under which the damage occurred. The maximum liability of </w:t>
      </w:r>
      <w:r w:rsidR="0086794C" w:rsidRPr="008670BC">
        <w:rPr>
          <w:sz w:val="13"/>
          <w:szCs w:val="13"/>
          <w:lang w:val="en-AE"/>
        </w:rPr>
        <w:t>TÜV Rheinland Middle East FZE</w:t>
      </w:r>
      <w:r w:rsidRPr="008670BC">
        <w:rPr>
          <w:sz w:val="13"/>
          <w:szCs w:val="13"/>
          <w:lang w:val="en-AE"/>
        </w:rPr>
        <w:t xml:space="preserve"> is limited in any event of damage or loss to 2.5 Mio Euro. </w:t>
      </w:r>
    </w:p>
    <w:p w14:paraId="3A4375E0" w14:textId="20D45E67"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The limitation of liability according to article 12.1 above shall not apply to all damage and losses caused by malice</w:t>
      </w:r>
      <w:r w:rsidR="001133D6" w:rsidRPr="008670BC">
        <w:rPr>
          <w:sz w:val="13"/>
          <w:szCs w:val="13"/>
          <w:lang w:val="en-AE"/>
        </w:rPr>
        <w:t xml:space="preserve"> or</w:t>
      </w:r>
      <w:r w:rsidRPr="008670BC">
        <w:rPr>
          <w:sz w:val="13"/>
          <w:szCs w:val="13"/>
          <w:lang w:val="en-AE"/>
        </w:rPr>
        <w:t xml:space="preserve"> intent on the part of any of the legal representatives of </w:t>
      </w:r>
      <w:r w:rsidR="0086794C" w:rsidRPr="008670BC">
        <w:rPr>
          <w:sz w:val="13"/>
          <w:szCs w:val="13"/>
          <w:lang w:val="en-AE"/>
        </w:rPr>
        <w:t>TÜV Rheinland Middle East FZE</w:t>
      </w:r>
      <w:r w:rsidRPr="008670BC">
        <w:rPr>
          <w:sz w:val="13"/>
          <w:szCs w:val="13"/>
          <w:lang w:val="en-AE"/>
        </w:rPr>
        <w:t xml:space="preserve"> or their vicarious agents. Such limitation shall also not apply to damages caused by a person’s death, physical injury or illness. </w:t>
      </w:r>
    </w:p>
    <w:p w14:paraId="3767FD6D" w14:textId="31E74E7E" w:rsidR="000642C5" w:rsidRPr="008670BC" w:rsidRDefault="0086794C"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TÜV Rheinland Middle East FZE</w:t>
      </w:r>
      <w:r w:rsidR="000642C5" w:rsidRPr="008670BC">
        <w:rPr>
          <w:sz w:val="13"/>
          <w:szCs w:val="13"/>
          <w:lang w:val="en-AE"/>
        </w:rPr>
        <w:t xml:space="preserve"> shall not be liable for personnel made available by the client to support </w:t>
      </w:r>
      <w:r w:rsidRPr="008670BC">
        <w:rPr>
          <w:sz w:val="13"/>
          <w:szCs w:val="13"/>
          <w:lang w:val="en-AE"/>
        </w:rPr>
        <w:t>TÜV Rheinland Middle East FZE</w:t>
      </w:r>
      <w:r w:rsidR="000642C5" w:rsidRPr="008670BC">
        <w:rPr>
          <w:sz w:val="13"/>
          <w:szCs w:val="13"/>
          <w:lang w:val="en-AE"/>
        </w:rPr>
        <w:t xml:space="preserve"> in the performance of its services regulated under this contract, unless personnel made available may be regarded as vicarious agents of </w:t>
      </w:r>
      <w:r w:rsidRPr="008670BC">
        <w:rPr>
          <w:sz w:val="13"/>
          <w:szCs w:val="13"/>
          <w:lang w:val="en-AE"/>
        </w:rPr>
        <w:t>TÜV Rheinland Middle East FZE</w:t>
      </w:r>
      <w:r w:rsidR="000642C5" w:rsidRPr="008670BC">
        <w:rPr>
          <w:sz w:val="13"/>
          <w:szCs w:val="13"/>
          <w:lang w:val="en-AE"/>
        </w:rPr>
        <w:t xml:space="preserve">. If </w:t>
      </w:r>
      <w:r w:rsidRPr="008670BC">
        <w:rPr>
          <w:sz w:val="13"/>
          <w:szCs w:val="13"/>
          <w:lang w:val="en-AE"/>
        </w:rPr>
        <w:t>TÜV Rheinland Middle East FZE</w:t>
      </w:r>
      <w:r w:rsidR="000642C5" w:rsidRPr="008670BC">
        <w:rPr>
          <w:sz w:val="13"/>
          <w:szCs w:val="13"/>
          <w:lang w:val="en-AE"/>
        </w:rPr>
        <w:t xml:space="preserve"> is not liable for personnel made available by the client under the foregoing provision, the client shall indemnify </w:t>
      </w:r>
      <w:r w:rsidRPr="008670BC">
        <w:rPr>
          <w:sz w:val="13"/>
          <w:szCs w:val="13"/>
          <w:lang w:val="en-AE"/>
        </w:rPr>
        <w:t>TÜV Rheinland Middle East FZE</w:t>
      </w:r>
      <w:r w:rsidR="000642C5" w:rsidRPr="008670BC">
        <w:rPr>
          <w:sz w:val="13"/>
          <w:szCs w:val="13"/>
          <w:lang w:val="en-AE"/>
        </w:rPr>
        <w:t xml:space="preserve"> against any claims made by third parties. </w:t>
      </w:r>
    </w:p>
    <w:p w14:paraId="69BB95C1" w14:textId="77777777"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limitation periods for claims for damages shall be based on statutory provisions. </w:t>
      </w:r>
    </w:p>
    <w:p w14:paraId="2B721F08" w14:textId="015804A8" w:rsidR="000642C5" w:rsidRPr="008670BC" w:rsidRDefault="000642C5" w:rsidP="00DC1150">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None of the provisions of this article 12 changes the burden of proof to the disadvantage of the client. </w:t>
      </w:r>
    </w:p>
    <w:p w14:paraId="21F74DBF" w14:textId="77777777" w:rsidR="00241F36" w:rsidRPr="008670BC" w:rsidRDefault="00241F36" w:rsidP="00241F36">
      <w:pPr>
        <w:pStyle w:val="ListParagraph"/>
        <w:spacing w:before="0" w:after="0" w:line="240" w:lineRule="auto"/>
        <w:ind w:left="450"/>
        <w:jc w:val="both"/>
        <w:rPr>
          <w:sz w:val="13"/>
          <w:szCs w:val="13"/>
          <w:lang w:val="en-AE"/>
        </w:rPr>
      </w:pPr>
    </w:p>
    <w:p w14:paraId="7C4E20DF" w14:textId="77777777" w:rsidR="00FE7374" w:rsidRPr="008670BC" w:rsidRDefault="00FE7374" w:rsidP="00FE7374">
      <w:pPr>
        <w:spacing w:before="0" w:after="0" w:line="240" w:lineRule="auto"/>
        <w:jc w:val="both"/>
        <w:rPr>
          <w:sz w:val="13"/>
          <w:szCs w:val="13"/>
          <w:lang w:val="en-AE"/>
        </w:rPr>
      </w:pPr>
    </w:p>
    <w:p w14:paraId="0EE3FF5F" w14:textId="7FF530C1" w:rsidR="00CA7B13" w:rsidRPr="008670BC" w:rsidRDefault="004202E8" w:rsidP="00FC78B4">
      <w:pPr>
        <w:pStyle w:val="ListParagraph"/>
        <w:numPr>
          <w:ilvl w:val="0"/>
          <w:numId w:val="12"/>
        </w:numPr>
        <w:spacing w:before="0" w:after="0" w:line="240" w:lineRule="auto"/>
        <w:ind w:left="450" w:hanging="450"/>
        <w:jc w:val="both"/>
        <w:rPr>
          <w:b/>
          <w:bCs/>
          <w:sz w:val="13"/>
          <w:szCs w:val="13"/>
        </w:rPr>
      </w:pPr>
      <w:r w:rsidRPr="008670BC">
        <w:rPr>
          <w:b/>
          <w:bCs/>
          <w:sz w:val="13"/>
          <w:szCs w:val="13"/>
        </w:rPr>
        <w:t xml:space="preserve">Force Majeure </w:t>
      </w:r>
    </w:p>
    <w:p w14:paraId="3A70B1ED" w14:textId="77777777" w:rsidR="00CA7B13" w:rsidRPr="008670BC" w:rsidRDefault="00CA7B13" w:rsidP="00FC78B4">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“Force Majeure” means the occurrence of an event or circumstance that prevents or impedes a Party from performing one or more of its contractual obligations under the contract, if and to the extent that that Party proves: (a) that such impediment is beyond its reasonable control; and (b) that it could not reasonably have been foreseen at the time of the conclusion of the contract; and (c) that the effects of the impediment could not reasonably have been avoided or overcome by the affected Party. </w:t>
      </w:r>
    </w:p>
    <w:p w14:paraId="10669DE7" w14:textId="2EFD800A" w:rsidR="00CA7B13" w:rsidRPr="008670BC" w:rsidRDefault="00CA7B13" w:rsidP="00FC78B4">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In the absence of proof to the contrary, the following events affecting a Party shall be presumed to fulfil conditions (a) and (b) under paragraph 1 of this Clause: (</w:t>
      </w:r>
      <w:proofErr w:type="spellStart"/>
      <w:r w:rsidRPr="008670BC">
        <w:rPr>
          <w:sz w:val="13"/>
          <w:szCs w:val="13"/>
          <w:lang w:val="en-AE"/>
        </w:rPr>
        <w:t>i</w:t>
      </w:r>
      <w:proofErr w:type="spellEnd"/>
      <w:r w:rsidRPr="008670BC">
        <w:rPr>
          <w:sz w:val="13"/>
          <w:szCs w:val="13"/>
          <w:lang w:val="en-AE"/>
        </w:rPr>
        <w:t xml:space="preserve">) war (whether declared or not), hostilities, invasion, act of foreign enemies, extensive military mobilization; (ii) civil war, riot, rebellion and revolution, military or usurped power, insurrection, act of terrorism, sabotage or piracy; (iii) currency and trade restriction, embargo, sanction; (iv) act of authority whether lawful or unlawful, compliance with any law or governmental order, expropriation, seizure of works, requisition, nationalization; (v) plague, epidemic, </w:t>
      </w:r>
      <w:r w:rsidR="001133D6" w:rsidRPr="008670BC">
        <w:rPr>
          <w:sz w:val="13"/>
          <w:szCs w:val="13"/>
          <w:lang w:val="en-AE"/>
        </w:rPr>
        <w:t xml:space="preserve">pandemic, </w:t>
      </w:r>
      <w:r w:rsidRPr="008670BC">
        <w:rPr>
          <w:sz w:val="13"/>
          <w:szCs w:val="13"/>
          <w:lang w:val="en-AE"/>
        </w:rPr>
        <w:t xml:space="preserve">natural disaster or extreme natural event; (vi) explosion, fire, destruction of equipment, prolonged break-down of transport, telecommunication, information system or energy; (vii) general </w:t>
      </w:r>
      <w:proofErr w:type="spellStart"/>
      <w:r w:rsidRPr="008670BC">
        <w:rPr>
          <w:sz w:val="13"/>
          <w:szCs w:val="13"/>
          <w:lang w:val="en-AE"/>
        </w:rPr>
        <w:t>labor</w:t>
      </w:r>
      <w:proofErr w:type="spellEnd"/>
      <w:r w:rsidRPr="008670BC">
        <w:rPr>
          <w:sz w:val="13"/>
          <w:szCs w:val="13"/>
          <w:lang w:val="en-AE"/>
        </w:rPr>
        <w:t xml:space="preserve"> disturbance such as boycott, strike and lock-out, go-slow, occupation of factories and premises.</w:t>
      </w:r>
    </w:p>
    <w:p w14:paraId="4BC4615D" w14:textId="77777777" w:rsidR="00CA7B13" w:rsidRPr="008670BC" w:rsidRDefault="00CA7B13" w:rsidP="00FC78B4">
      <w:pPr>
        <w:pStyle w:val="ListParagraph"/>
        <w:numPr>
          <w:ilvl w:val="1"/>
          <w:numId w:val="12"/>
        </w:numPr>
        <w:spacing w:before="0" w:after="0" w:line="240" w:lineRule="auto"/>
        <w:ind w:left="450" w:hanging="450"/>
        <w:jc w:val="both"/>
        <w:rPr>
          <w:sz w:val="13"/>
          <w:szCs w:val="13"/>
          <w:lang w:val="en-US"/>
        </w:rPr>
      </w:pPr>
      <w:r w:rsidRPr="008670BC">
        <w:rPr>
          <w:sz w:val="13"/>
          <w:szCs w:val="13"/>
          <w:lang w:val="en-AE"/>
        </w:rPr>
        <w:t xml:space="preserve">The Party successfully invoking this Clause is relieved from its duty to perform its obligations under the contract and from any liability in damages or from any other contractual remedy for breach of contract, from the time at which the impediment causes inability to perform, provided that the notice thereof is given without delay. If </w:t>
      </w:r>
      <w:r w:rsidRPr="008670BC">
        <w:rPr>
          <w:sz w:val="13"/>
          <w:szCs w:val="13"/>
          <w:lang w:val="en-AE"/>
        </w:rPr>
        <w:t>notice thereof is not given without delay, the relief is effective from the time at which notice thereof reaches the other Party. Where the effect of the impediment or event invoked is temporary, the above consequences shall apply only as long as the impediment invoked impedes performance by the affected Party. Where the duration of the impediment invoked has the effect of substantially depriving the contracting Parties of what they were reasonably entitled to expect under the contract, either Party has the right to terminate the contract by notification within a reasonable period to the other Party. Unless otherwise agreed, the Parties expressly agree that the contract may be terminated by either Party if the duration of the impediment exceeds 120 days.</w:t>
      </w:r>
    </w:p>
    <w:p w14:paraId="541D46FA" w14:textId="77777777" w:rsidR="000642C5" w:rsidRPr="008670BC" w:rsidRDefault="000642C5" w:rsidP="004202E8">
      <w:pPr>
        <w:spacing w:before="0" w:after="0" w:line="240" w:lineRule="auto"/>
        <w:jc w:val="both"/>
        <w:rPr>
          <w:sz w:val="13"/>
          <w:szCs w:val="13"/>
          <w:lang w:val="en-AE"/>
        </w:rPr>
      </w:pPr>
    </w:p>
    <w:p w14:paraId="2BEDD037" w14:textId="77777777" w:rsidR="00123BB0" w:rsidRPr="008670BC" w:rsidRDefault="00123BB0" w:rsidP="004202E8">
      <w:pPr>
        <w:spacing w:before="0" w:after="0" w:line="240" w:lineRule="auto"/>
        <w:jc w:val="both"/>
        <w:rPr>
          <w:sz w:val="13"/>
          <w:szCs w:val="13"/>
          <w:lang w:val="en-AE"/>
        </w:rPr>
      </w:pPr>
    </w:p>
    <w:p w14:paraId="0238D332" w14:textId="77777777" w:rsidR="000642C5" w:rsidRPr="008670BC" w:rsidRDefault="000642C5" w:rsidP="004202E8">
      <w:pPr>
        <w:pStyle w:val="ListParagraph"/>
        <w:numPr>
          <w:ilvl w:val="0"/>
          <w:numId w:val="12"/>
        </w:numPr>
        <w:spacing w:before="0" w:after="0" w:line="240" w:lineRule="auto"/>
        <w:ind w:left="450" w:hanging="450"/>
        <w:jc w:val="both"/>
        <w:rPr>
          <w:b/>
          <w:bCs/>
          <w:sz w:val="13"/>
          <w:szCs w:val="13"/>
          <w:lang w:val="en-AE"/>
        </w:rPr>
      </w:pPr>
      <w:r w:rsidRPr="008670BC">
        <w:rPr>
          <w:b/>
          <w:bCs/>
          <w:sz w:val="13"/>
          <w:szCs w:val="13"/>
          <w:lang w:val="en-AE"/>
        </w:rPr>
        <w:t xml:space="preserve">Partial invalidity, written form, place of jurisdiction </w:t>
      </w:r>
    </w:p>
    <w:p w14:paraId="590AC7A1" w14:textId="77777777" w:rsidR="000642C5" w:rsidRPr="008670BC" w:rsidRDefault="000642C5" w:rsidP="008C67A6">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No ancillary agreements to this contract have been concluded. </w:t>
      </w:r>
    </w:p>
    <w:p w14:paraId="0D995A9D" w14:textId="77777777" w:rsidR="000642C5" w:rsidRPr="008670BC" w:rsidRDefault="000642C5" w:rsidP="008C67A6">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All amendments and supplements must be in writing </w:t>
      </w:r>
      <w:proofErr w:type="gramStart"/>
      <w:r w:rsidRPr="008670BC">
        <w:rPr>
          <w:sz w:val="13"/>
          <w:szCs w:val="13"/>
          <w:lang w:val="en-AE"/>
        </w:rPr>
        <w:t>in order to</w:t>
      </w:r>
      <w:proofErr w:type="gramEnd"/>
      <w:r w:rsidRPr="008670BC">
        <w:rPr>
          <w:sz w:val="13"/>
          <w:szCs w:val="13"/>
          <w:lang w:val="en-AE"/>
        </w:rPr>
        <w:t xml:space="preserve"> be effective; this also applies to amendments and supplements to the requirement for the written form. </w:t>
      </w:r>
    </w:p>
    <w:p w14:paraId="4F35EB76" w14:textId="77777777" w:rsidR="000642C5" w:rsidRPr="008670BC" w:rsidRDefault="000642C5" w:rsidP="008C67A6">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Should one or several of the provisions under this contract be or become ineffective, the contracting parties shall replace the invalid provision with a legally valid provision that comes closest to the content of the invalid provision in legal and commercial terms. </w:t>
      </w:r>
    </w:p>
    <w:p w14:paraId="53AB2C42" w14:textId="1D7A7132" w:rsidR="000642C5" w:rsidRPr="008670BC" w:rsidRDefault="008C3299" w:rsidP="008C67A6">
      <w:pPr>
        <w:pStyle w:val="ListParagraph"/>
        <w:numPr>
          <w:ilvl w:val="1"/>
          <w:numId w:val="12"/>
        </w:numPr>
        <w:spacing w:before="0" w:after="0" w:line="240" w:lineRule="auto"/>
        <w:ind w:left="450" w:hanging="450"/>
        <w:jc w:val="both"/>
        <w:rPr>
          <w:sz w:val="13"/>
          <w:szCs w:val="13"/>
        </w:rPr>
      </w:pPr>
      <w:r w:rsidRPr="008670BC">
        <w:rPr>
          <w:sz w:val="13"/>
          <w:szCs w:val="13"/>
          <w:lang w:val="en-AE"/>
        </w:rPr>
        <w:t xml:space="preserve">The place of jurisdiction for all disputes arising in connection with this contract shall be Dubai, United Arab Emirates. This contract is governed by the law of the Emirate of Dubai and the laws of the United Arab Emirates. </w:t>
      </w:r>
      <w:r w:rsidRPr="008670BC">
        <w:rPr>
          <w:sz w:val="13"/>
          <w:szCs w:val="13"/>
        </w:rPr>
        <w:t>However, The German Product Liability Act, shall apply.</w:t>
      </w:r>
    </w:p>
    <w:p w14:paraId="32D88F21" w14:textId="77777777" w:rsidR="001A3459" w:rsidRPr="008670BC" w:rsidRDefault="001A3459" w:rsidP="001A3459">
      <w:pPr>
        <w:pStyle w:val="ListParagraph"/>
        <w:spacing w:before="0" w:after="0" w:line="240" w:lineRule="auto"/>
        <w:ind w:left="-90"/>
        <w:jc w:val="both"/>
        <w:rPr>
          <w:sz w:val="13"/>
          <w:szCs w:val="13"/>
        </w:rPr>
      </w:pPr>
    </w:p>
    <w:p w14:paraId="50D68720" w14:textId="77777777" w:rsidR="00241F36" w:rsidRPr="008670BC" w:rsidRDefault="00241F36" w:rsidP="001A3459">
      <w:pPr>
        <w:pStyle w:val="ListParagraph"/>
        <w:spacing w:before="0" w:after="0" w:line="240" w:lineRule="auto"/>
        <w:ind w:left="-90"/>
        <w:jc w:val="both"/>
        <w:rPr>
          <w:sz w:val="13"/>
          <w:szCs w:val="13"/>
        </w:rPr>
      </w:pPr>
    </w:p>
    <w:p w14:paraId="09368710" w14:textId="7DBBCCB1" w:rsidR="00121083" w:rsidRPr="008670BC" w:rsidRDefault="00121083" w:rsidP="008C67A6">
      <w:pPr>
        <w:pStyle w:val="ListParagraph"/>
        <w:numPr>
          <w:ilvl w:val="0"/>
          <w:numId w:val="12"/>
        </w:numPr>
        <w:spacing w:before="0" w:after="0" w:line="240" w:lineRule="auto"/>
        <w:ind w:left="450" w:hanging="450"/>
        <w:jc w:val="both"/>
        <w:rPr>
          <w:b/>
          <w:bCs/>
          <w:sz w:val="13"/>
          <w:szCs w:val="13"/>
          <w:lang w:val="en-AE"/>
        </w:rPr>
      </w:pPr>
      <w:r w:rsidRPr="008670BC">
        <w:rPr>
          <w:b/>
          <w:bCs/>
          <w:sz w:val="13"/>
          <w:szCs w:val="13"/>
          <w:lang w:val="en-AE"/>
        </w:rPr>
        <w:t xml:space="preserve">HSE (Health, Safety, and Environment) </w:t>
      </w:r>
    </w:p>
    <w:p w14:paraId="0BE837C6" w14:textId="77777777" w:rsidR="00121083" w:rsidRPr="008670BC" w:rsidRDefault="00121083" w:rsidP="008C67A6">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 xml:space="preserve">The client shall ensure TÜV Rheinland employee is provided with a safe work environment for executing the work assignments at client’s premises </w:t>
      </w:r>
      <w:proofErr w:type="gramStart"/>
      <w:r w:rsidRPr="008670BC">
        <w:rPr>
          <w:sz w:val="13"/>
          <w:szCs w:val="13"/>
          <w:lang w:val="en-AE"/>
        </w:rPr>
        <w:t>and also</w:t>
      </w:r>
      <w:proofErr w:type="gramEnd"/>
      <w:r w:rsidRPr="008670BC">
        <w:rPr>
          <w:sz w:val="13"/>
          <w:szCs w:val="13"/>
          <w:lang w:val="en-AE"/>
        </w:rPr>
        <w:t xml:space="preserve"> provide necessary HSE inductions on workplace hazards, additional activity specific personnel protective equipment as applicable.</w:t>
      </w:r>
    </w:p>
    <w:p w14:paraId="4F39CC6C" w14:textId="77777777" w:rsidR="002F03B6" w:rsidRPr="008670BC" w:rsidRDefault="002F03B6" w:rsidP="0049217C">
      <w:pPr>
        <w:spacing w:before="0" w:after="0" w:line="240" w:lineRule="auto"/>
        <w:jc w:val="both"/>
        <w:rPr>
          <w:sz w:val="13"/>
          <w:szCs w:val="13"/>
          <w:lang w:val="en-AE"/>
        </w:rPr>
      </w:pPr>
    </w:p>
    <w:p w14:paraId="2190DD5F" w14:textId="77777777" w:rsidR="00241F36" w:rsidRPr="008670BC" w:rsidRDefault="00241F36" w:rsidP="0049217C">
      <w:pPr>
        <w:spacing w:before="0" w:after="0" w:line="240" w:lineRule="auto"/>
        <w:jc w:val="both"/>
        <w:rPr>
          <w:sz w:val="13"/>
          <w:szCs w:val="13"/>
          <w:lang w:val="en-AE"/>
        </w:rPr>
      </w:pPr>
    </w:p>
    <w:p w14:paraId="77642D50" w14:textId="711B62A6" w:rsidR="002F03B6" w:rsidRPr="008670BC" w:rsidRDefault="002F03B6" w:rsidP="008C67A6">
      <w:pPr>
        <w:pStyle w:val="ListParagraph"/>
        <w:numPr>
          <w:ilvl w:val="0"/>
          <w:numId w:val="12"/>
        </w:numPr>
        <w:spacing w:before="0" w:after="0" w:line="240" w:lineRule="auto"/>
        <w:ind w:left="450" w:hanging="450"/>
        <w:jc w:val="both"/>
        <w:rPr>
          <w:b/>
          <w:bCs/>
          <w:sz w:val="13"/>
          <w:szCs w:val="13"/>
        </w:rPr>
      </w:pPr>
      <w:r w:rsidRPr="008670BC">
        <w:rPr>
          <w:b/>
          <w:bCs/>
          <w:sz w:val="13"/>
          <w:szCs w:val="13"/>
        </w:rPr>
        <w:t xml:space="preserve">Data protection notice </w:t>
      </w:r>
    </w:p>
    <w:p w14:paraId="1D7AC82A" w14:textId="63CDEFD5" w:rsidR="00463602" w:rsidRPr="008670BC" w:rsidRDefault="00134CAA" w:rsidP="00463602">
      <w:pPr>
        <w:pStyle w:val="ListParagraph"/>
        <w:numPr>
          <w:ilvl w:val="1"/>
          <w:numId w:val="12"/>
        </w:numPr>
        <w:spacing w:before="0" w:after="0" w:line="240" w:lineRule="auto"/>
        <w:ind w:left="450" w:hanging="450"/>
        <w:jc w:val="both"/>
        <w:rPr>
          <w:sz w:val="13"/>
          <w:szCs w:val="13"/>
          <w:lang w:val="en-AE"/>
        </w:rPr>
      </w:pPr>
      <w:r w:rsidRPr="008670BC">
        <w:rPr>
          <w:sz w:val="13"/>
          <w:szCs w:val="13"/>
          <w:lang w:val="en-AE"/>
        </w:rPr>
        <w:t>TÜV Rheinland Middle East FZE</w:t>
      </w:r>
      <w:r w:rsidR="00463602" w:rsidRPr="008670BC">
        <w:rPr>
          <w:sz w:val="13"/>
          <w:szCs w:val="13"/>
          <w:lang w:val="en-AE"/>
        </w:rPr>
        <w:t xml:space="preserve"> is committed to safeguarding personal data in compliance with the applicable laws specified in the General Terms and Conditions. </w:t>
      </w:r>
      <w:r w:rsidRPr="008670BC">
        <w:rPr>
          <w:sz w:val="13"/>
          <w:szCs w:val="13"/>
          <w:lang w:val="en-AE"/>
        </w:rPr>
        <w:t>TÜV Rheinland Middle East FZE</w:t>
      </w:r>
      <w:r w:rsidR="00463602" w:rsidRPr="008670BC">
        <w:rPr>
          <w:sz w:val="13"/>
          <w:szCs w:val="13"/>
          <w:lang w:val="en-AE"/>
        </w:rPr>
        <w:t xml:space="preserve"> processes client data to provide agreed services and </w:t>
      </w:r>
      <w:r w:rsidR="009D12E8" w:rsidRPr="008670BC">
        <w:rPr>
          <w:sz w:val="13"/>
          <w:szCs w:val="13"/>
          <w:lang w:val="en-AE"/>
        </w:rPr>
        <w:t>fulfil</w:t>
      </w:r>
      <w:r w:rsidR="00463602" w:rsidRPr="008670BC">
        <w:rPr>
          <w:sz w:val="13"/>
          <w:szCs w:val="13"/>
          <w:lang w:val="en-AE"/>
        </w:rPr>
        <w:t xml:space="preserve"> legal obligations. Data may be shared with trusted third parties, including those outside the jurisdiction specified in the General Terms and Conditions, if legally permitted. Data will be retained only as long as necessary for its purpose or as required by law, and will be securely deleted, anonymized, or returned to the client when no longer needed. Clients have rights to access, correct, or request deletion of their data. For inquiries or requests regarding personal data, please contact </w:t>
      </w:r>
      <w:r w:rsidR="00EE2A72" w:rsidRPr="008670BC">
        <w:rPr>
          <w:sz w:val="13"/>
          <w:szCs w:val="13"/>
          <w:lang w:val="en-AE"/>
        </w:rPr>
        <w:t>info@uae.tuv.com</w:t>
      </w:r>
    </w:p>
    <w:p w14:paraId="3529B937" w14:textId="77777777" w:rsidR="00D64B23" w:rsidRPr="008670BC" w:rsidRDefault="00D64B23" w:rsidP="00D64B23">
      <w:pPr>
        <w:spacing w:before="0" w:after="0" w:line="240" w:lineRule="auto"/>
        <w:jc w:val="both"/>
        <w:rPr>
          <w:sz w:val="13"/>
          <w:szCs w:val="13"/>
          <w:lang w:val="en-AE"/>
        </w:rPr>
      </w:pPr>
    </w:p>
    <w:p w14:paraId="79E1C249" w14:textId="77777777" w:rsidR="00B03BC1" w:rsidRPr="00B81091" w:rsidRDefault="00B03BC1" w:rsidP="00051B77">
      <w:pPr>
        <w:pStyle w:val="ListParagraph"/>
        <w:spacing w:before="0" w:after="0" w:line="240" w:lineRule="auto"/>
        <w:ind w:left="450"/>
        <w:jc w:val="both"/>
        <w:rPr>
          <w:sz w:val="14"/>
          <w:szCs w:val="14"/>
        </w:rPr>
      </w:pPr>
      <w:r w:rsidRPr="008670BC">
        <w:rPr>
          <w:b/>
          <w:bCs/>
          <w:sz w:val="13"/>
          <w:szCs w:val="13"/>
        </w:rPr>
        <w:t>Issue date</w:t>
      </w:r>
      <w:r w:rsidRPr="008670BC">
        <w:rPr>
          <w:sz w:val="13"/>
          <w:szCs w:val="13"/>
        </w:rPr>
        <w:t>: November 2024</w:t>
      </w:r>
    </w:p>
    <w:p w14:paraId="1CDEA8FC" w14:textId="77777777" w:rsidR="00D64B23" w:rsidRPr="00D64B23" w:rsidRDefault="00D64B23" w:rsidP="00D64B23">
      <w:pPr>
        <w:spacing w:before="0" w:after="0" w:line="240" w:lineRule="auto"/>
        <w:jc w:val="both"/>
        <w:rPr>
          <w:sz w:val="13"/>
          <w:szCs w:val="13"/>
        </w:rPr>
      </w:pPr>
    </w:p>
    <w:p w14:paraId="53A9D452" w14:textId="77777777" w:rsidR="008A01A2" w:rsidRPr="001B5153" w:rsidRDefault="008A01A2" w:rsidP="008A01A2">
      <w:pPr>
        <w:pStyle w:val="ListParagraph"/>
        <w:spacing w:before="0" w:after="0" w:line="240" w:lineRule="auto"/>
        <w:ind w:left="-90"/>
        <w:jc w:val="both"/>
        <w:rPr>
          <w:sz w:val="13"/>
          <w:szCs w:val="13"/>
        </w:rPr>
      </w:pPr>
    </w:p>
    <w:sectPr w:rsidR="008A01A2" w:rsidRPr="001B5153" w:rsidSect="003B0698">
      <w:headerReference w:type="default" r:id="rId8"/>
      <w:footerReference w:type="default" r:id="rId9"/>
      <w:pgSz w:w="11906" w:h="16838"/>
      <w:pgMar w:top="1170" w:right="746" w:bottom="900" w:left="720" w:header="450" w:footer="172" w:gutter="0"/>
      <w:cols w:num="3"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C53D1" w14:textId="77777777" w:rsidR="00204B3C" w:rsidRDefault="00204B3C" w:rsidP="006C1C0B">
      <w:r>
        <w:separator/>
      </w:r>
    </w:p>
  </w:endnote>
  <w:endnote w:type="continuationSeparator" w:id="0">
    <w:p w14:paraId="3EB1296F" w14:textId="77777777" w:rsidR="00204B3C" w:rsidRDefault="00204B3C"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0DFED" w14:textId="1C1153A3" w:rsidR="00A27915" w:rsidRPr="00B264BE" w:rsidRDefault="00A27915" w:rsidP="00A27915">
    <w:pPr>
      <w:pStyle w:val="Footer"/>
      <w:tabs>
        <w:tab w:val="clear" w:pos="9072"/>
      </w:tabs>
      <w:rPr>
        <w:sz w:val="14"/>
        <w:szCs w:val="14"/>
      </w:rPr>
    </w:pPr>
    <w:r w:rsidRPr="00B264BE">
      <w:rPr>
        <w:sz w:val="14"/>
        <w:szCs w:val="14"/>
      </w:rPr>
      <w:t>MS-00</w:t>
    </w:r>
    <w:r w:rsidR="00B264BE" w:rsidRPr="00B264BE">
      <w:rPr>
        <w:sz w:val="14"/>
        <w:szCs w:val="14"/>
      </w:rPr>
      <w:t>24928</w:t>
    </w:r>
    <w:r w:rsidRPr="00B264BE">
      <w:rPr>
        <w:sz w:val="14"/>
        <w:szCs w:val="14"/>
      </w:rPr>
      <w:t xml:space="preserve"> </w:t>
    </w:r>
    <w:r w:rsidRPr="00B264BE">
      <w:rPr>
        <w:sz w:val="14"/>
        <w:szCs w:val="14"/>
      </w:rPr>
      <w:tab/>
      <w:t>Rev 0</w:t>
    </w:r>
    <w:r w:rsidR="00B264BE" w:rsidRPr="00B264BE">
      <w:rPr>
        <w:sz w:val="14"/>
        <w:szCs w:val="14"/>
      </w:rPr>
      <w:t>3</w:t>
    </w:r>
    <w:r w:rsidRPr="00B264BE">
      <w:rPr>
        <w:sz w:val="14"/>
        <w:szCs w:val="14"/>
      </w:rPr>
      <w:t xml:space="preserve">  </w:t>
    </w:r>
    <w:sdt>
      <w:sdtPr>
        <w:rPr>
          <w:sz w:val="14"/>
          <w:szCs w:val="14"/>
        </w:rPr>
        <w:id w:val="-1810691488"/>
        <w:docPartObj>
          <w:docPartGallery w:val="Page Numbers (Bottom of Page)"/>
          <w:docPartUnique/>
        </w:docPartObj>
      </w:sdtPr>
      <w:sdtEndPr/>
      <w:sdtContent>
        <w:sdt>
          <w:sdtPr>
            <w:rPr>
              <w:sz w:val="14"/>
              <w:szCs w:val="14"/>
            </w:rPr>
            <w:id w:val="-1769616900"/>
            <w:docPartObj>
              <w:docPartGallery w:val="Page Numbers (Top of Page)"/>
              <w:docPartUnique/>
            </w:docPartObj>
          </w:sdtPr>
          <w:sdtEndPr/>
          <w:sdtContent>
            <w:r w:rsidRPr="00B264BE">
              <w:rPr>
                <w:sz w:val="14"/>
                <w:szCs w:val="14"/>
              </w:rPr>
              <w:tab/>
            </w:r>
            <w:r w:rsidRPr="00B264BE">
              <w:rPr>
                <w:sz w:val="14"/>
                <w:szCs w:val="14"/>
              </w:rPr>
              <w:tab/>
            </w:r>
            <w:r w:rsidRPr="00B264BE">
              <w:rPr>
                <w:sz w:val="14"/>
                <w:szCs w:val="14"/>
              </w:rPr>
              <w:tab/>
            </w:r>
            <w:r w:rsidRPr="00B264BE">
              <w:rPr>
                <w:sz w:val="14"/>
                <w:szCs w:val="14"/>
              </w:rPr>
              <w:tab/>
            </w:r>
            <w:r w:rsidRPr="00B264BE">
              <w:rPr>
                <w:sz w:val="14"/>
                <w:szCs w:val="14"/>
              </w:rPr>
              <w:tab/>
            </w:r>
            <w:r w:rsidRPr="00B264BE">
              <w:rPr>
                <w:sz w:val="14"/>
                <w:szCs w:val="14"/>
              </w:rPr>
              <w:tab/>
              <w:t xml:space="preserve">Page </w:t>
            </w:r>
            <w:r w:rsidRPr="00B264BE">
              <w:rPr>
                <w:b/>
                <w:bCs/>
                <w:sz w:val="14"/>
                <w:szCs w:val="14"/>
              </w:rPr>
              <w:fldChar w:fldCharType="begin"/>
            </w:r>
            <w:r w:rsidRPr="00B264BE">
              <w:rPr>
                <w:b/>
                <w:bCs/>
                <w:sz w:val="14"/>
                <w:szCs w:val="14"/>
              </w:rPr>
              <w:instrText xml:space="preserve"> PAGE </w:instrText>
            </w:r>
            <w:r w:rsidRPr="00B264BE">
              <w:rPr>
                <w:b/>
                <w:bCs/>
                <w:sz w:val="14"/>
                <w:szCs w:val="14"/>
              </w:rPr>
              <w:fldChar w:fldCharType="separate"/>
            </w:r>
            <w:r w:rsidRPr="00B264BE">
              <w:rPr>
                <w:b/>
                <w:bCs/>
                <w:noProof/>
                <w:sz w:val="14"/>
                <w:szCs w:val="14"/>
              </w:rPr>
              <w:t>2</w:t>
            </w:r>
            <w:r w:rsidRPr="00B264BE">
              <w:rPr>
                <w:b/>
                <w:bCs/>
                <w:sz w:val="14"/>
                <w:szCs w:val="14"/>
              </w:rPr>
              <w:fldChar w:fldCharType="end"/>
            </w:r>
            <w:r w:rsidRPr="00B264BE">
              <w:rPr>
                <w:sz w:val="14"/>
                <w:szCs w:val="14"/>
              </w:rPr>
              <w:t xml:space="preserve"> of </w:t>
            </w:r>
            <w:r w:rsidRPr="00B264BE">
              <w:rPr>
                <w:b/>
                <w:bCs/>
                <w:sz w:val="14"/>
                <w:szCs w:val="14"/>
              </w:rPr>
              <w:fldChar w:fldCharType="begin"/>
            </w:r>
            <w:r w:rsidRPr="00B264BE">
              <w:rPr>
                <w:b/>
                <w:bCs/>
                <w:sz w:val="14"/>
                <w:szCs w:val="14"/>
              </w:rPr>
              <w:instrText xml:space="preserve"> NUMPAGES  </w:instrText>
            </w:r>
            <w:r w:rsidRPr="00B264BE">
              <w:rPr>
                <w:b/>
                <w:bCs/>
                <w:sz w:val="14"/>
                <w:szCs w:val="14"/>
              </w:rPr>
              <w:fldChar w:fldCharType="separate"/>
            </w:r>
            <w:r w:rsidRPr="00B264BE">
              <w:rPr>
                <w:b/>
                <w:bCs/>
                <w:noProof/>
                <w:sz w:val="14"/>
                <w:szCs w:val="14"/>
              </w:rPr>
              <w:t>2</w:t>
            </w:r>
            <w:r w:rsidRPr="00B264BE">
              <w:rPr>
                <w:b/>
                <w:bCs/>
                <w:sz w:val="14"/>
                <w:szCs w:val="14"/>
              </w:rPr>
              <w:fldChar w:fldCharType="end"/>
            </w:r>
          </w:sdtContent>
        </w:sdt>
      </w:sdtContent>
    </w:sdt>
  </w:p>
  <w:p w14:paraId="74A8325E" w14:textId="77777777" w:rsidR="00A27915" w:rsidRDefault="00A27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8D67E" w14:textId="77777777" w:rsidR="00204B3C" w:rsidRDefault="00204B3C" w:rsidP="006C1C0B">
      <w:r>
        <w:separator/>
      </w:r>
    </w:p>
  </w:footnote>
  <w:footnote w:type="continuationSeparator" w:id="0">
    <w:p w14:paraId="26B4EC3B" w14:textId="77777777" w:rsidR="00204B3C" w:rsidRDefault="00204B3C"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75917" w14:textId="77777777" w:rsidR="00E507B7" w:rsidRDefault="00AB590E" w:rsidP="004202E8">
    <w:pPr>
      <w:pStyle w:val="Header"/>
    </w:pPr>
    <w:r>
      <w:rPr>
        <w:noProof/>
      </w:rPr>
      <w:drawing>
        <wp:inline distT="0" distB="0" distL="0" distR="0" wp14:anchorId="0B564832" wp14:editId="081C5B97">
          <wp:extent cx="2028825" cy="561975"/>
          <wp:effectExtent l="0" t="0" r="9525" b="9525"/>
          <wp:docPr id="2092027953" name="Picture 2092027953" descr="TU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TUV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61975"/>
                  </a:xfrm>
                  <a:prstGeom prst="rect">
                    <a:avLst/>
                  </a:prstGeom>
                  <a:noFill/>
                  <a:ln>
                    <a:noFill/>
                  </a:ln>
                </pic:spPr>
              </pic:pic>
            </a:graphicData>
          </a:graphic>
        </wp:inline>
      </w:drawing>
    </w:r>
  </w:p>
  <w:p w14:paraId="6221849C" w14:textId="77777777" w:rsidR="00E507B7" w:rsidRDefault="00E507B7" w:rsidP="0006367C">
    <w:pPr>
      <w:pStyle w:val="Header"/>
      <w:jc w:val="center"/>
    </w:pPr>
  </w:p>
  <w:p w14:paraId="3AE92E2D" w14:textId="4757B555" w:rsidR="00E507B7" w:rsidRPr="009D12E8" w:rsidRDefault="00AB590E" w:rsidP="0006367C">
    <w:pPr>
      <w:pStyle w:val="Header"/>
      <w:jc w:val="center"/>
      <w:rPr>
        <w:b/>
        <w:bCs/>
        <w:sz w:val="22"/>
        <w:szCs w:val="22"/>
        <w:lang w:val="en-AE"/>
      </w:rPr>
    </w:pPr>
    <w:r w:rsidRPr="009D12E8">
      <w:rPr>
        <w:b/>
        <w:bCs/>
        <w:sz w:val="22"/>
        <w:szCs w:val="22"/>
        <w:lang w:val="en-AE"/>
      </w:rPr>
      <w:t xml:space="preserve">General Terms and Conditions of Business of </w:t>
    </w:r>
    <w:r w:rsidR="0086794C" w:rsidRPr="009D12E8">
      <w:rPr>
        <w:b/>
        <w:bCs/>
        <w:sz w:val="22"/>
        <w:szCs w:val="22"/>
        <w:lang w:val="en-AE"/>
      </w:rPr>
      <w:t>TÜV Rheinland Middle East FZE</w:t>
    </w:r>
    <w:r w:rsidR="007F0F30" w:rsidRPr="009D12E8">
      <w:rPr>
        <w:b/>
        <w:bCs/>
        <w:sz w:val="22"/>
        <w:szCs w:val="22"/>
        <w:lang w:val="en-AE"/>
      </w:rPr>
      <w:t>, UAE</w:t>
    </w:r>
  </w:p>
  <w:p w14:paraId="1E9D39E2" w14:textId="77777777" w:rsidR="00E507B7" w:rsidRPr="009D12E8" w:rsidRDefault="00E507B7" w:rsidP="004202E8">
    <w:pPr>
      <w:pStyle w:val="Header"/>
      <w:spacing w:line="240" w:lineRule="auto"/>
      <w:jc w:val="center"/>
      <w:rPr>
        <w:lang w:val="en-A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B5B70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E9690C"/>
    <w:multiLevelType w:val="multilevel"/>
    <w:tmpl w:val="7D02565E"/>
    <w:lvl w:ilvl="0">
      <w:start w:val="1"/>
      <w:numFmt w:val="decimal"/>
      <w:lvlText w:val="%1."/>
      <w:lvlJc w:val="left"/>
      <w:pPr>
        <w:ind w:left="360" w:hanging="360"/>
      </w:pPr>
      <w:rPr>
        <w:rFonts w:hint="default"/>
      </w:rPr>
    </w:lvl>
    <w:lvl w:ilvl="1">
      <w:start w:val="1"/>
      <w:numFmt w:val="decimal"/>
      <w:lvlText w:val="%1.%2."/>
      <w:lvlJc w:val="left"/>
      <w:pPr>
        <w:ind w:left="432" w:hanging="432"/>
      </w:pPr>
      <w:rPr>
        <w:sz w:val="13"/>
        <w:szCs w:val="13"/>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2134596052">
    <w:abstractNumId w:val="11"/>
  </w:num>
  <w:num w:numId="2" w16cid:durableId="686293386">
    <w:abstractNumId w:val="2"/>
  </w:num>
  <w:num w:numId="3" w16cid:durableId="1736779320">
    <w:abstractNumId w:val="8"/>
  </w:num>
  <w:num w:numId="4" w16cid:durableId="67002256">
    <w:abstractNumId w:val="9"/>
  </w:num>
  <w:num w:numId="5" w16cid:durableId="1099791806">
    <w:abstractNumId w:val="0"/>
  </w:num>
  <w:num w:numId="6" w16cid:durableId="519465561">
    <w:abstractNumId w:val="6"/>
  </w:num>
  <w:num w:numId="7" w16cid:durableId="1208756509">
    <w:abstractNumId w:val="7"/>
  </w:num>
  <w:num w:numId="8" w16cid:durableId="464197465">
    <w:abstractNumId w:val="4"/>
  </w:num>
  <w:num w:numId="9" w16cid:durableId="1252159652">
    <w:abstractNumId w:val="1"/>
  </w:num>
  <w:num w:numId="10" w16cid:durableId="1519351546">
    <w:abstractNumId w:val="5"/>
  </w:num>
  <w:num w:numId="11" w16cid:durableId="1729303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1203300">
    <w:abstractNumId w:val="10"/>
  </w:num>
  <w:num w:numId="13" w16cid:durableId="422386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A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C5"/>
    <w:rsid w:val="00006A07"/>
    <w:rsid w:val="00051B77"/>
    <w:rsid w:val="000642C5"/>
    <w:rsid w:val="000F2578"/>
    <w:rsid w:val="0010458A"/>
    <w:rsid w:val="00106CE9"/>
    <w:rsid w:val="001133D6"/>
    <w:rsid w:val="001171E4"/>
    <w:rsid w:val="0011743C"/>
    <w:rsid w:val="00121083"/>
    <w:rsid w:val="00123BB0"/>
    <w:rsid w:val="00134CAA"/>
    <w:rsid w:val="00194D47"/>
    <w:rsid w:val="001A3459"/>
    <w:rsid w:val="001B2A24"/>
    <w:rsid w:val="001B5153"/>
    <w:rsid w:val="001C3EFA"/>
    <w:rsid w:val="001F105E"/>
    <w:rsid w:val="001F3A98"/>
    <w:rsid w:val="0020002D"/>
    <w:rsid w:val="00204B3C"/>
    <w:rsid w:val="00224B84"/>
    <w:rsid w:val="0022595D"/>
    <w:rsid w:val="00226257"/>
    <w:rsid w:val="00234687"/>
    <w:rsid w:val="00241F36"/>
    <w:rsid w:val="0024591E"/>
    <w:rsid w:val="00281221"/>
    <w:rsid w:val="0029333B"/>
    <w:rsid w:val="002E5A42"/>
    <w:rsid w:val="002F03B6"/>
    <w:rsid w:val="00314251"/>
    <w:rsid w:val="003337B1"/>
    <w:rsid w:val="00336EA9"/>
    <w:rsid w:val="0035522F"/>
    <w:rsid w:val="003B0698"/>
    <w:rsid w:val="003B4585"/>
    <w:rsid w:val="003D0FD7"/>
    <w:rsid w:val="003E7C7D"/>
    <w:rsid w:val="004202E8"/>
    <w:rsid w:val="00432D35"/>
    <w:rsid w:val="004549E5"/>
    <w:rsid w:val="004570A0"/>
    <w:rsid w:val="00463602"/>
    <w:rsid w:val="00464688"/>
    <w:rsid w:val="004820FD"/>
    <w:rsid w:val="0049217C"/>
    <w:rsid w:val="004D3EC9"/>
    <w:rsid w:val="004E1F93"/>
    <w:rsid w:val="004E6200"/>
    <w:rsid w:val="0053526A"/>
    <w:rsid w:val="005432D3"/>
    <w:rsid w:val="00552446"/>
    <w:rsid w:val="00575A82"/>
    <w:rsid w:val="005C39F8"/>
    <w:rsid w:val="005D4C80"/>
    <w:rsid w:val="005E065D"/>
    <w:rsid w:val="005E27EB"/>
    <w:rsid w:val="005F01B1"/>
    <w:rsid w:val="005F27CE"/>
    <w:rsid w:val="006426F0"/>
    <w:rsid w:val="00662072"/>
    <w:rsid w:val="00691B9D"/>
    <w:rsid w:val="006948BC"/>
    <w:rsid w:val="006A3221"/>
    <w:rsid w:val="006C1C0B"/>
    <w:rsid w:val="006D2F58"/>
    <w:rsid w:val="006D759E"/>
    <w:rsid w:val="00703BB9"/>
    <w:rsid w:val="00722CD9"/>
    <w:rsid w:val="00740769"/>
    <w:rsid w:val="00745DA0"/>
    <w:rsid w:val="00755964"/>
    <w:rsid w:val="007A5606"/>
    <w:rsid w:val="007B461D"/>
    <w:rsid w:val="007D4AD8"/>
    <w:rsid w:val="007F0F30"/>
    <w:rsid w:val="008670BC"/>
    <w:rsid w:val="008673D5"/>
    <w:rsid w:val="0086794C"/>
    <w:rsid w:val="008764B8"/>
    <w:rsid w:val="0089443B"/>
    <w:rsid w:val="008A01A2"/>
    <w:rsid w:val="008A6B95"/>
    <w:rsid w:val="008C3299"/>
    <w:rsid w:val="008C67A6"/>
    <w:rsid w:val="008C72E6"/>
    <w:rsid w:val="008F1C5A"/>
    <w:rsid w:val="0094143B"/>
    <w:rsid w:val="00956FEF"/>
    <w:rsid w:val="00961C87"/>
    <w:rsid w:val="00973F5A"/>
    <w:rsid w:val="009767D1"/>
    <w:rsid w:val="00991076"/>
    <w:rsid w:val="009C3F39"/>
    <w:rsid w:val="009D12E8"/>
    <w:rsid w:val="00A11A89"/>
    <w:rsid w:val="00A27915"/>
    <w:rsid w:val="00A34ECB"/>
    <w:rsid w:val="00A3785D"/>
    <w:rsid w:val="00A43BE3"/>
    <w:rsid w:val="00A454A7"/>
    <w:rsid w:val="00A5303F"/>
    <w:rsid w:val="00A8012F"/>
    <w:rsid w:val="00A92A6F"/>
    <w:rsid w:val="00AB590E"/>
    <w:rsid w:val="00AF32F4"/>
    <w:rsid w:val="00B03BC1"/>
    <w:rsid w:val="00B21243"/>
    <w:rsid w:val="00B264BE"/>
    <w:rsid w:val="00B34576"/>
    <w:rsid w:val="00B55E31"/>
    <w:rsid w:val="00B645C8"/>
    <w:rsid w:val="00B7777B"/>
    <w:rsid w:val="00B9775E"/>
    <w:rsid w:val="00BA0416"/>
    <w:rsid w:val="00BD5F00"/>
    <w:rsid w:val="00BD7EA7"/>
    <w:rsid w:val="00C2799C"/>
    <w:rsid w:val="00C32C66"/>
    <w:rsid w:val="00C8030E"/>
    <w:rsid w:val="00CA7B13"/>
    <w:rsid w:val="00CB275C"/>
    <w:rsid w:val="00CD5864"/>
    <w:rsid w:val="00CF486A"/>
    <w:rsid w:val="00D516D3"/>
    <w:rsid w:val="00D64B23"/>
    <w:rsid w:val="00DA10DF"/>
    <w:rsid w:val="00DC1150"/>
    <w:rsid w:val="00E34C46"/>
    <w:rsid w:val="00E507B7"/>
    <w:rsid w:val="00E60029"/>
    <w:rsid w:val="00E6582B"/>
    <w:rsid w:val="00E6721C"/>
    <w:rsid w:val="00EC386A"/>
    <w:rsid w:val="00EE2A72"/>
    <w:rsid w:val="00EE3BBB"/>
    <w:rsid w:val="00EF0C8D"/>
    <w:rsid w:val="00F06009"/>
    <w:rsid w:val="00F75888"/>
    <w:rsid w:val="00FC78B4"/>
    <w:rsid w:val="00FE4DD2"/>
    <w:rsid w:val="00FE7374"/>
    <w:rsid w:val="00FF27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AC94A"/>
  <w15:chartTrackingRefBased/>
  <w15:docId w15:val="{C3870DF6-1949-4CF3-844A-FCE15E6A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2C5"/>
  </w:style>
  <w:style w:type="paragraph" w:styleId="Heading1">
    <w:name w:val="heading 1"/>
    <w:basedOn w:val="Normal"/>
    <w:next w:val="Normal"/>
    <w:link w:val="Heading1Char"/>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Heading6">
    <w:name w:val="heading 6"/>
    <w:basedOn w:val="Normal"/>
    <w:next w:val="Normal"/>
    <w:link w:val="Heading6Char"/>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Heading7">
    <w:name w:val="heading 7"/>
    <w:basedOn w:val="Normal"/>
    <w:next w:val="Normal"/>
    <w:link w:val="Heading7Char"/>
    <w:uiPriority w:val="9"/>
    <w:unhideWhenUsed/>
    <w:rsid w:val="001C3EFA"/>
    <w:pPr>
      <w:keepNext/>
      <w:keepLines/>
      <w:numPr>
        <w:ilvl w:val="6"/>
        <w:numId w:val="2"/>
      </w:numPr>
      <w:spacing w:before="200" w:after="0"/>
      <w:outlineLvl w:val="6"/>
    </w:pPr>
    <w:rPr>
      <w:rFonts w:eastAsiaTheme="majorEastAsia" w:cstheme="majorBidi"/>
      <w:i/>
      <w:iCs/>
    </w:rPr>
  </w:style>
  <w:style w:type="paragraph" w:styleId="Heading8">
    <w:name w:val="heading 8"/>
    <w:basedOn w:val="Normal"/>
    <w:next w:val="Normal"/>
    <w:link w:val="Heading8Char"/>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Heading9">
    <w:name w:val="heading 9"/>
    <w:basedOn w:val="Normal"/>
    <w:next w:val="Normal"/>
    <w:link w:val="Heading9Char"/>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05E"/>
    <w:pPr>
      <w:spacing w:before="0" w:after="0"/>
    </w:pPr>
    <w:rPr>
      <w:sz w:val="22"/>
    </w:rPr>
  </w:style>
  <w:style w:type="character" w:customStyle="1" w:styleId="Heading1Char">
    <w:name w:val="Heading 1 Char"/>
    <w:basedOn w:val="DefaultParagraphFont"/>
    <w:link w:val="Heading1"/>
    <w:uiPriority w:val="9"/>
    <w:rsid w:val="00106CE9"/>
    <w:rPr>
      <w:rFonts w:eastAsiaTheme="majorEastAsia" w:cstheme="majorBidi"/>
      <w:b/>
      <w:sz w:val="28"/>
      <w:szCs w:val="32"/>
    </w:rPr>
  </w:style>
  <w:style w:type="character" w:customStyle="1" w:styleId="Heading2Char">
    <w:name w:val="Heading 2 Char"/>
    <w:basedOn w:val="DefaultParagraphFont"/>
    <w:link w:val="Heading2"/>
    <w:uiPriority w:val="9"/>
    <w:rsid w:val="00106CE9"/>
    <w:rPr>
      <w:rFonts w:eastAsiaTheme="majorEastAsia" w:cstheme="majorBidi"/>
      <w:b/>
      <w:sz w:val="26"/>
      <w:szCs w:val="26"/>
    </w:rPr>
  </w:style>
  <w:style w:type="character" w:customStyle="1" w:styleId="Heading3Char">
    <w:name w:val="Heading 3 Char"/>
    <w:basedOn w:val="DefaultParagraphFont"/>
    <w:link w:val="Heading3"/>
    <w:uiPriority w:val="9"/>
    <w:rsid w:val="00106CE9"/>
    <w:rPr>
      <w:rFonts w:eastAsiaTheme="majorEastAsia" w:cstheme="majorBidi"/>
      <w:b/>
      <w:szCs w:val="24"/>
    </w:rPr>
  </w:style>
  <w:style w:type="character" w:customStyle="1" w:styleId="Heading4Char">
    <w:name w:val="Heading 4 Char"/>
    <w:basedOn w:val="DefaultParagraphFont"/>
    <w:link w:val="Heading4"/>
    <w:uiPriority w:val="9"/>
    <w:rsid w:val="00106CE9"/>
    <w:rPr>
      <w:rFonts w:eastAsiaTheme="majorEastAsia" w:cstheme="majorBidi"/>
      <w:b/>
      <w:i/>
      <w:iCs/>
    </w:rPr>
  </w:style>
  <w:style w:type="character" w:customStyle="1" w:styleId="Heading5Char">
    <w:name w:val="Heading 5 Char"/>
    <w:basedOn w:val="DefaultParagraphFont"/>
    <w:link w:val="Heading5"/>
    <w:uiPriority w:val="9"/>
    <w:rsid w:val="00106CE9"/>
    <w:rPr>
      <w:rFonts w:eastAsiaTheme="majorEastAsia" w:cstheme="majorBidi"/>
    </w:rPr>
  </w:style>
  <w:style w:type="character" w:customStyle="1" w:styleId="Heading6Char">
    <w:name w:val="Heading 6 Char"/>
    <w:basedOn w:val="DefaultParagraphFont"/>
    <w:link w:val="Heading6"/>
    <w:uiPriority w:val="9"/>
    <w:rsid w:val="00B7777B"/>
    <w:rPr>
      <w:rFonts w:eastAsiaTheme="majorEastAsia" w:cstheme="majorBidi"/>
      <w:i/>
    </w:rPr>
  </w:style>
  <w:style w:type="paragraph" w:styleId="Title">
    <w:name w:val="Title"/>
    <w:basedOn w:val="Normal"/>
    <w:next w:val="Normal"/>
    <w:link w:val="TitleChar"/>
    <w:uiPriority w:val="10"/>
    <w:qFormat/>
    <w:rsid w:val="00B7777B"/>
    <w:pPr>
      <w:pBdr>
        <w:bottom w:val="single" w:sz="8" w:space="4" w:color="5B9BD5" w:themeColor="accent1"/>
      </w:pBdr>
      <w:spacing w:before="0" w:after="300" w:line="240" w:lineRule="auto"/>
      <w:contextualSpacing/>
    </w:pPr>
    <w:rPr>
      <w:rFonts w:eastAsiaTheme="majorEastAsia" w:cstheme="majorBidi"/>
      <w:spacing w:val="5"/>
      <w:kern w:val="28"/>
      <w:sz w:val="52"/>
      <w:szCs w:val="56"/>
    </w:rPr>
  </w:style>
  <w:style w:type="character" w:customStyle="1" w:styleId="TitleChar">
    <w:name w:val="Title Char"/>
    <w:basedOn w:val="DefaultParagraphFont"/>
    <w:link w:val="Title"/>
    <w:uiPriority w:val="10"/>
    <w:rsid w:val="00B7777B"/>
    <w:rPr>
      <w:rFonts w:eastAsiaTheme="majorEastAsia" w:cstheme="majorBidi"/>
      <w:spacing w:val="5"/>
      <w:kern w:val="28"/>
      <w:sz w:val="52"/>
      <w:szCs w:val="56"/>
    </w:rPr>
  </w:style>
  <w:style w:type="paragraph" w:styleId="Subtitle">
    <w:name w:val="Subtitle"/>
    <w:basedOn w:val="Normal"/>
    <w:next w:val="Normal"/>
    <w:link w:val="SubtitleChar"/>
    <w:uiPriority w:val="11"/>
    <w:qFormat/>
    <w:rsid w:val="00552446"/>
    <w:pPr>
      <w:numPr>
        <w:ilvl w:val="1"/>
      </w:numPr>
      <w:spacing w:before="0" w:after="0"/>
    </w:pPr>
    <w:rPr>
      <w:rFonts w:eastAsiaTheme="minorEastAsia" w:cstheme="minorBidi"/>
      <w:i/>
      <w:spacing w:val="15"/>
      <w:sz w:val="24"/>
      <w:szCs w:val="22"/>
    </w:rPr>
  </w:style>
  <w:style w:type="character" w:customStyle="1" w:styleId="SubtitleChar">
    <w:name w:val="Subtitle Char"/>
    <w:basedOn w:val="DefaultParagraphFont"/>
    <w:link w:val="Subtitle"/>
    <w:uiPriority w:val="11"/>
    <w:rsid w:val="00552446"/>
    <w:rPr>
      <w:rFonts w:eastAsiaTheme="minorEastAsia" w:cstheme="minorBidi"/>
      <w:i/>
      <w:spacing w:val="15"/>
      <w:sz w:val="24"/>
      <w:szCs w:val="22"/>
    </w:rPr>
  </w:style>
  <w:style w:type="character" w:styleId="SubtleEmphasis">
    <w:name w:val="Subtle Emphasis"/>
    <w:basedOn w:val="DefaultParagraphFont"/>
    <w:uiPriority w:val="19"/>
    <w:qFormat/>
    <w:rsid w:val="00552446"/>
    <w:rPr>
      <w:i/>
      <w:iCs/>
      <w:color w:val="7F7F7F" w:themeColor="text1" w:themeTint="80"/>
    </w:rPr>
  </w:style>
  <w:style w:type="character" w:styleId="Emphasis">
    <w:name w:val="Emphasis"/>
    <w:basedOn w:val="DefaultParagraphFont"/>
    <w:uiPriority w:val="20"/>
    <w:qFormat/>
    <w:rsid w:val="00552446"/>
    <w:rPr>
      <w:i/>
      <w:iCs/>
    </w:rPr>
  </w:style>
  <w:style w:type="character" w:styleId="IntenseEmphasis">
    <w:name w:val="Intense Emphasis"/>
    <w:basedOn w:val="DefaultParagraphFont"/>
    <w:uiPriority w:val="21"/>
    <w:qFormat/>
    <w:rsid w:val="00552446"/>
    <w:rPr>
      <w:b/>
      <w:i/>
      <w:iCs/>
      <w:color w:val="auto"/>
    </w:rPr>
  </w:style>
  <w:style w:type="character" w:styleId="Strong">
    <w:name w:val="Strong"/>
    <w:basedOn w:val="DefaultParagraphFont"/>
    <w:uiPriority w:val="22"/>
    <w:qFormat/>
    <w:rsid w:val="00552446"/>
    <w:rPr>
      <w:b/>
      <w:bCs/>
    </w:rPr>
  </w:style>
  <w:style w:type="paragraph" w:styleId="Quote">
    <w:name w:val="Quote"/>
    <w:basedOn w:val="Normal"/>
    <w:next w:val="Normal"/>
    <w:link w:val="QuoteChar"/>
    <w:uiPriority w:val="29"/>
    <w:qFormat/>
    <w:rsid w:val="005524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2446"/>
    <w:rPr>
      <w:i/>
      <w:iCs/>
      <w:color w:val="404040" w:themeColor="text1" w:themeTint="BF"/>
    </w:rPr>
  </w:style>
  <w:style w:type="paragraph" w:styleId="IntenseQuote">
    <w:name w:val="Intense Quote"/>
    <w:basedOn w:val="Normal"/>
    <w:next w:val="Normal"/>
    <w:link w:val="IntenseQuoteChar"/>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52446"/>
    <w:rPr>
      <w:i/>
      <w:iCs/>
      <w:color w:val="5B9BD5" w:themeColor="accent1"/>
    </w:rPr>
  </w:style>
  <w:style w:type="character" w:styleId="SubtleReference">
    <w:name w:val="Subtle Reference"/>
    <w:basedOn w:val="DefaultParagraphFont"/>
    <w:uiPriority w:val="31"/>
    <w:qFormat/>
    <w:rsid w:val="00552446"/>
    <w:rPr>
      <w:smallCaps/>
      <w:color w:val="5A5A5A" w:themeColor="text1" w:themeTint="A5"/>
    </w:rPr>
  </w:style>
  <w:style w:type="character" w:styleId="IntenseReference">
    <w:name w:val="Intense Reference"/>
    <w:basedOn w:val="DefaultParagraphFont"/>
    <w:uiPriority w:val="32"/>
    <w:qFormat/>
    <w:rsid w:val="00552446"/>
    <w:rPr>
      <w:b/>
      <w:bCs/>
      <w:smallCaps/>
      <w:color w:val="5B9BD5" w:themeColor="accent1"/>
      <w:spacing w:val="5"/>
    </w:rPr>
  </w:style>
  <w:style w:type="character" w:styleId="BookTitle">
    <w:name w:val="Book Title"/>
    <w:basedOn w:val="DefaultParagraphFont"/>
    <w:uiPriority w:val="33"/>
    <w:qFormat/>
    <w:rsid w:val="00552446"/>
    <w:rPr>
      <w:b/>
      <w:bCs/>
      <w:i/>
      <w:iCs/>
      <w:spacing w:val="5"/>
    </w:rPr>
  </w:style>
  <w:style w:type="paragraph" w:styleId="ListParagraph">
    <w:name w:val="List Paragraph"/>
    <w:basedOn w:val="Normal"/>
    <w:uiPriority w:val="34"/>
    <w:qFormat/>
    <w:rsid w:val="00552446"/>
    <w:pPr>
      <w:ind w:left="720"/>
      <w:contextualSpacing/>
    </w:pPr>
  </w:style>
  <w:style w:type="paragraph" w:customStyle="1" w:styleId="TabellePMHplain">
    <w:name w:val="Tabelle_PMH_plain"/>
    <w:basedOn w:val="Normal"/>
    <w:rsid w:val="00A454A7"/>
    <w:pPr>
      <w:numPr>
        <w:numId w:val="1"/>
      </w:numPr>
      <w:tabs>
        <w:tab w:val="left" w:pos="357"/>
      </w:tabs>
      <w:spacing w:before="60" w:after="60"/>
    </w:pPr>
    <w:rPr>
      <w:sz w:val="16"/>
    </w:rPr>
  </w:style>
  <w:style w:type="character" w:customStyle="1" w:styleId="Heading7Char">
    <w:name w:val="Heading 7 Char"/>
    <w:basedOn w:val="DefaultParagraphFont"/>
    <w:link w:val="Heading7"/>
    <w:uiPriority w:val="9"/>
    <w:rsid w:val="001C3EFA"/>
    <w:rPr>
      <w:rFonts w:eastAsiaTheme="majorEastAsia" w:cstheme="majorBidi"/>
      <w:i/>
      <w:iCs/>
    </w:rPr>
  </w:style>
  <w:style w:type="character" w:customStyle="1" w:styleId="Heading8Char">
    <w:name w:val="Heading 8 Char"/>
    <w:basedOn w:val="DefaultParagraphFont"/>
    <w:link w:val="Heading8"/>
    <w:uiPriority w:val="9"/>
    <w:rsid w:val="001C3EFA"/>
    <w:rPr>
      <w:rFonts w:eastAsiaTheme="majorEastAsia" w:cstheme="majorBidi"/>
      <w:szCs w:val="21"/>
    </w:rPr>
  </w:style>
  <w:style w:type="character" w:customStyle="1" w:styleId="Heading9Char">
    <w:name w:val="Heading 9 Char"/>
    <w:basedOn w:val="DefaultParagraphFont"/>
    <w:link w:val="Heading9"/>
    <w:uiPriority w:val="9"/>
    <w:rsid w:val="001C3EFA"/>
    <w:rPr>
      <w:rFonts w:eastAsiaTheme="majorEastAsia" w:cstheme="majorBidi"/>
      <w:i/>
      <w:iCs/>
      <w:szCs w:val="21"/>
    </w:rPr>
  </w:style>
  <w:style w:type="paragraph" w:styleId="Header">
    <w:name w:val="header"/>
    <w:basedOn w:val="Normal"/>
    <w:link w:val="HeaderChar"/>
    <w:uiPriority w:val="99"/>
    <w:unhideWhenUsed/>
    <w:rsid w:val="00224B84"/>
    <w:pPr>
      <w:tabs>
        <w:tab w:val="center" w:pos="4536"/>
        <w:tab w:val="right" w:pos="9072"/>
      </w:tabs>
      <w:spacing w:before="0" w:after="0"/>
    </w:pPr>
  </w:style>
  <w:style w:type="character" w:styleId="Hyperlink">
    <w:name w:val="Hyperlink"/>
    <w:basedOn w:val="DefaultParagraphFont"/>
    <w:uiPriority w:val="99"/>
    <w:unhideWhenUsed/>
    <w:rsid w:val="00CB275C"/>
    <w:rPr>
      <w:color w:val="0000FF"/>
      <w:u w:val="single"/>
    </w:rPr>
  </w:style>
  <w:style w:type="character" w:customStyle="1" w:styleId="HeaderChar">
    <w:name w:val="Header Char"/>
    <w:basedOn w:val="DefaultParagraphFont"/>
    <w:link w:val="Header"/>
    <w:uiPriority w:val="99"/>
    <w:rsid w:val="00224B84"/>
  </w:style>
  <w:style w:type="paragraph" w:styleId="Footer">
    <w:name w:val="footer"/>
    <w:basedOn w:val="Normal"/>
    <w:link w:val="FooterChar"/>
    <w:uiPriority w:val="99"/>
    <w:unhideWhenUsed/>
    <w:rsid w:val="00224B84"/>
    <w:pPr>
      <w:tabs>
        <w:tab w:val="center" w:pos="4536"/>
        <w:tab w:val="right" w:pos="9072"/>
      </w:tabs>
      <w:spacing w:before="0" w:after="0"/>
    </w:pPr>
  </w:style>
  <w:style w:type="character" w:customStyle="1" w:styleId="FooterChar">
    <w:name w:val="Footer Char"/>
    <w:basedOn w:val="DefaultParagraphFont"/>
    <w:link w:val="Footer"/>
    <w:uiPriority w:val="99"/>
    <w:rsid w:val="00224B84"/>
  </w:style>
  <w:style w:type="paragraph" w:styleId="TOCHeading">
    <w:name w:val="TOC Heading"/>
    <w:basedOn w:val="Heading1"/>
    <w:next w:val="Normal"/>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TOC1">
    <w:name w:val="toc 1"/>
    <w:basedOn w:val="Normal"/>
    <w:next w:val="Normal"/>
    <w:autoRedefine/>
    <w:uiPriority w:val="39"/>
    <w:unhideWhenUsed/>
    <w:rsid w:val="006D2F58"/>
    <w:pPr>
      <w:spacing w:before="0" w:after="100"/>
    </w:pPr>
  </w:style>
  <w:style w:type="paragraph" w:styleId="TOC2">
    <w:name w:val="toc 2"/>
    <w:basedOn w:val="Normal"/>
    <w:next w:val="Normal"/>
    <w:autoRedefine/>
    <w:uiPriority w:val="39"/>
    <w:unhideWhenUsed/>
    <w:rsid w:val="006D2F58"/>
    <w:pPr>
      <w:spacing w:before="0" w:after="100"/>
      <w:ind w:left="198"/>
    </w:pPr>
  </w:style>
  <w:style w:type="paragraph" w:styleId="Signature">
    <w:name w:val="Signature"/>
    <w:basedOn w:val="Normal"/>
    <w:link w:val="SignatureChar"/>
    <w:uiPriority w:val="99"/>
    <w:unhideWhenUsed/>
    <w:rsid w:val="009767D1"/>
    <w:pPr>
      <w:spacing w:before="0" w:after="0"/>
      <w:jc w:val="center"/>
    </w:pPr>
    <w:rPr>
      <w:sz w:val="16"/>
    </w:rPr>
  </w:style>
  <w:style w:type="character" w:customStyle="1" w:styleId="SignatureChar">
    <w:name w:val="Signature Char"/>
    <w:basedOn w:val="DefaultParagraphFont"/>
    <w:link w:val="Signature"/>
    <w:uiPriority w:val="99"/>
    <w:rsid w:val="009767D1"/>
    <w:rPr>
      <w:sz w:val="16"/>
    </w:rPr>
  </w:style>
  <w:style w:type="paragraph" w:styleId="Revision">
    <w:name w:val="Revision"/>
    <w:hidden/>
    <w:uiPriority w:val="99"/>
    <w:semiHidden/>
    <w:rsid w:val="000F2578"/>
    <w:pPr>
      <w:spacing w:before="0" w:after="0" w:line="240" w:lineRule="auto"/>
    </w:pPr>
  </w:style>
  <w:style w:type="character" w:styleId="CommentReference">
    <w:name w:val="annotation reference"/>
    <w:basedOn w:val="DefaultParagraphFont"/>
    <w:uiPriority w:val="99"/>
    <w:semiHidden/>
    <w:unhideWhenUsed/>
    <w:rsid w:val="008764B8"/>
    <w:rPr>
      <w:sz w:val="16"/>
      <w:szCs w:val="16"/>
    </w:rPr>
  </w:style>
  <w:style w:type="paragraph" w:styleId="CommentText">
    <w:name w:val="annotation text"/>
    <w:basedOn w:val="Normal"/>
    <w:link w:val="CommentTextChar"/>
    <w:uiPriority w:val="99"/>
    <w:unhideWhenUsed/>
    <w:rsid w:val="008764B8"/>
    <w:pPr>
      <w:spacing w:line="240" w:lineRule="auto"/>
    </w:pPr>
  </w:style>
  <w:style w:type="character" w:customStyle="1" w:styleId="CommentTextChar">
    <w:name w:val="Comment Text Char"/>
    <w:basedOn w:val="DefaultParagraphFont"/>
    <w:link w:val="CommentText"/>
    <w:uiPriority w:val="99"/>
    <w:rsid w:val="008764B8"/>
  </w:style>
  <w:style w:type="paragraph" w:styleId="CommentSubject">
    <w:name w:val="annotation subject"/>
    <w:basedOn w:val="CommentText"/>
    <w:next w:val="CommentText"/>
    <w:link w:val="CommentSubjectChar"/>
    <w:uiPriority w:val="99"/>
    <w:semiHidden/>
    <w:unhideWhenUsed/>
    <w:rsid w:val="008764B8"/>
    <w:rPr>
      <w:b/>
      <w:bCs/>
    </w:rPr>
  </w:style>
  <w:style w:type="character" w:customStyle="1" w:styleId="CommentSubjectChar">
    <w:name w:val="Comment Subject Char"/>
    <w:basedOn w:val="CommentTextChar"/>
    <w:link w:val="CommentSubject"/>
    <w:uiPriority w:val="99"/>
    <w:semiHidden/>
    <w:rsid w:val="00876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3296</Words>
  <Characters>18793</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TUEV Rheinland Holding GmbH</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 Mahammad</dc:creator>
  <cp:keywords/>
  <dc:description/>
  <cp:lastModifiedBy>Sajid Mahammad</cp:lastModifiedBy>
  <cp:revision>2</cp:revision>
  <dcterms:created xsi:type="dcterms:W3CDTF">2024-11-08T11:55:00Z</dcterms:created>
  <dcterms:modified xsi:type="dcterms:W3CDTF">2024-11-08T11:55:00Z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2024-07-31T12:17:22Z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0275a2c6-651f-43a9-9495-b0f0a6f7f647</vt:lpwstr>
  </property>
  <property fmtid="{D5CDD505-2E9C-101B-9397-08002B2CF9AE}" pid="8" name="MSIP_Label_d3d538fd-7cd2-4b8b-bd42-f6ee8cc1e568_ContentBits">
    <vt:lpwstr>0</vt:lpwstr>
  </property>
</Properties>
</file>